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jc w:val="both"/>
        <w:rPr>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理财产品登记编码</w:t>
      </w:r>
      <w:r>
        <w:rPr>
          <w:rFonts w:ascii="黑体" w:eastAsia="黑体" w:cs="黑体"/>
          <w:b/>
          <w:bCs/>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【Z7002624000617</w:t>
      </w:r>
      <w:r>
        <w:rPr>
          <w:color w:val="000000" w:themeColor="text1"/>
          <w14:textFill>
            <w14:solidFill>
              <w14:schemeClr w14:val="tx1"/>
            </w14:solidFill>
          </w14:textFill>
        </w:rPr>
        <w:t>】</w:t>
      </w:r>
    </w:p>
    <w:p>
      <w:pPr>
        <w:spacing w:line="300" w:lineRule="exact"/>
        <w:jc w:val="both"/>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理财产品</w:t>
      </w:r>
      <w:r>
        <w:rPr>
          <w:rFonts w:ascii="黑体" w:hAnsi="黑体" w:eastAsia="黑体"/>
          <w:color w:val="000000" w:themeColor="text1"/>
          <w:sz w:val="21"/>
          <w:szCs w:val="21"/>
          <w14:textFill>
            <w14:solidFill>
              <w14:schemeClr w14:val="tx1"/>
            </w14:solidFill>
          </w14:textFill>
        </w:rPr>
        <w:t>登记编码为本产品在</w:t>
      </w:r>
      <w:r>
        <w:rPr>
          <w:rFonts w:hint="eastAsia" w:ascii="黑体" w:hAnsi="黑体" w:eastAsia="黑体"/>
          <w:color w:val="000000" w:themeColor="text1"/>
          <w:sz w:val="21"/>
          <w:szCs w:val="21"/>
          <w14:textFill>
            <w14:solidFill>
              <w14:schemeClr w14:val="tx1"/>
            </w14:solidFill>
          </w14:textFill>
        </w:rPr>
        <w:t>全国银行业理财信息登记系统</w:t>
      </w:r>
      <w:r>
        <w:rPr>
          <w:rFonts w:ascii="黑体" w:hAnsi="黑体" w:eastAsia="黑体"/>
          <w:color w:val="000000" w:themeColor="text1"/>
          <w:sz w:val="21"/>
          <w:szCs w:val="21"/>
          <w14:textFill>
            <w14:solidFill>
              <w14:schemeClr w14:val="tx1"/>
            </w14:solidFill>
          </w14:textFill>
        </w:rPr>
        <w:t>取得的理财产品登记编码，</w:t>
      </w:r>
      <w:r>
        <w:rPr>
          <w:rFonts w:hint="eastAsia" w:ascii="黑体" w:hAnsi="黑体" w:eastAsia="黑体"/>
          <w:color w:val="000000" w:themeColor="text1"/>
          <w:sz w:val="21"/>
          <w:szCs w:val="21"/>
          <w14:textFill>
            <w14:solidFill>
              <w14:schemeClr w14:val="tx1"/>
            </w14:solidFill>
          </w14:textFill>
        </w:rPr>
        <w:t>投资者</w:t>
      </w:r>
      <w:r>
        <w:rPr>
          <w:rFonts w:ascii="黑体" w:hAnsi="黑体" w:eastAsia="黑体"/>
          <w:color w:val="000000" w:themeColor="text1"/>
          <w:sz w:val="21"/>
          <w:szCs w:val="21"/>
          <w14:textFill>
            <w14:solidFill>
              <w14:schemeClr w14:val="tx1"/>
            </w14:solidFill>
          </w14:textFill>
        </w:rPr>
        <w:t>可以</w:t>
      </w:r>
      <w:r>
        <w:rPr>
          <w:rFonts w:hint="eastAsia" w:ascii="黑体" w:hAnsi="黑体" w:eastAsia="黑体"/>
          <w:color w:val="000000" w:themeColor="text1"/>
          <w:sz w:val="21"/>
          <w:szCs w:val="21"/>
          <w14:textFill>
            <w14:solidFill>
              <w14:schemeClr w14:val="tx1"/>
            </w14:solidFill>
          </w14:textFill>
        </w:rPr>
        <w:t>依据</w:t>
      </w:r>
      <w:r>
        <w:rPr>
          <w:rFonts w:ascii="黑体" w:hAnsi="黑体" w:eastAsia="黑体"/>
          <w:color w:val="000000" w:themeColor="text1"/>
          <w:sz w:val="21"/>
          <w:szCs w:val="21"/>
          <w14:textFill>
            <w14:solidFill>
              <w14:schemeClr w14:val="tx1"/>
            </w14:solidFill>
          </w14:textFill>
        </w:rPr>
        <w:t>该理财产品登记编码在</w:t>
      </w:r>
      <w:r>
        <w:rPr>
          <w:rFonts w:hint="eastAsia" w:ascii="黑体" w:hAnsi="黑体" w:eastAsia="黑体"/>
          <w:color w:val="000000" w:themeColor="text1"/>
          <w:sz w:val="21"/>
          <w:szCs w:val="21"/>
          <w14:textFill>
            <w14:solidFill>
              <w14:schemeClr w14:val="tx1"/>
            </w14:solidFill>
          </w14:textFill>
        </w:rPr>
        <w:t>金融产品查询平台（</w:t>
      </w:r>
      <w:r>
        <w:rPr>
          <w:rFonts w:ascii="黑体" w:hAnsi="黑体" w:eastAsia="黑体"/>
          <w:color w:val="000000" w:themeColor="text1"/>
          <w:sz w:val="21"/>
          <w:szCs w:val="21"/>
          <w14:textFill>
            <w14:solidFill>
              <w14:schemeClr w14:val="tx1"/>
            </w14:solidFill>
          </w14:textFill>
        </w:rPr>
        <w:t>www.jrcpcx.cn）或中国理财网（www.chinawealth.com.cn）</w:t>
      </w:r>
      <w:r>
        <w:rPr>
          <w:rFonts w:hint="eastAsia" w:ascii="黑体" w:hAnsi="黑体" w:eastAsia="黑体"/>
          <w:color w:val="000000" w:themeColor="text1"/>
          <w:sz w:val="21"/>
          <w:szCs w:val="21"/>
          <w14:textFill>
            <w14:solidFill>
              <w14:schemeClr w14:val="tx1"/>
            </w14:solidFill>
          </w14:textFill>
        </w:rPr>
        <w:t>上查询</w:t>
      </w:r>
      <w:r>
        <w:rPr>
          <w:rFonts w:ascii="黑体" w:hAnsi="黑体" w:eastAsia="黑体"/>
          <w:color w:val="000000" w:themeColor="text1"/>
          <w:sz w:val="21"/>
          <w:szCs w:val="21"/>
          <w14:textFill>
            <w14:solidFill>
              <w14:schemeClr w14:val="tx1"/>
            </w14:solidFill>
          </w14:textFill>
        </w:rPr>
        <w:t>本产品相关信息。</w:t>
      </w:r>
    </w:p>
    <w:p>
      <w:pPr>
        <w:spacing w:line="300" w:lineRule="exact"/>
        <w:jc w:val="both"/>
        <w:rPr>
          <w:rFonts w:ascii="黑体" w:hAnsi="黑体" w:eastAsia="黑体"/>
          <w:color w:val="000000" w:themeColor="text1"/>
          <w:sz w:val="21"/>
          <w:szCs w:val="21"/>
          <w14:textFill>
            <w14:solidFill>
              <w14:schemeClr w14:val="tx1"/>
            </w14:solidFill>
          </w14:textFill>
        </w:rPr>
      </w:pPr>
    </w:p>
    <w:p>
      <w:pPr>
        <w:spacing w:line="300" w:lineRule="exact"/>
        <w:jc w:val="both"/>
        <w:rPr>
          <w:b/>
          <w:color w:val="000000" w:themeColor="text1"/>
          <w:sz w:val="28"/>
          <w:szCs w:val="28"/>
          <w14:textFill>
            <w14:solidFill>
              <w14:schemeClr w14:val="tx1"/>
            </w14:solidFill>
          </w14:textFill>
        </w:rPr>
      </w:pPr>
      <w:r>
        <w:rPr>
          <w:rFonts w:ascii="黑体" w:hAnsi="黑体" w:eastAsia="黑体"/>
          <w:b/>
          <w:color w:val="000000" w:themeColor="text1"/>
          <w:sz w:val="28"/>
          <w:szCs w:val="28"/>
          <w14:textFill>
            <w14:solidFill>
              <w14:schemeClr w14:val="tx1"/>
            </w14:solidFill>
          </w14:textFill>
        </w:rPr>
        <w:t>郑重</w:t>
      </w:r>
      <w:r>
        <w:rPr>
          <w:rFonts w:hint="eastAsia" w:ascii="黑体" w:hAnsi="黑体" w:eastAsia="黑体"/>
          <w:b/>
          <w:color w:val="000000" w:themeColor="text1"/>
          <w:sz w:val="28"/>
          <w:szCs w:val="28"/>
          <w14:textFill>
            <w14:solidFill>
              <w14:schemeClr w14:val="tx1"/>
            </w14:solidFill>
          </w14:textFill>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t>
      </w:r>
      <w:r>
        <w:rPr>
          <w:rFonts w:ascii="黑体" w:hAnsi="黑体" w:eastAsia="黑体"/>
          <w:b/>
          <w:color w:val="000000" w:themeColor="text1"/>
          <w:sz w:val="28"/>
          <w:szCs w:val="28"/>
          <w14:textFill>
            <w14:solidFill>
              <w14:schemeClr w14:val="tx1"/>
            </w14:solidFill>
          </w14:textFill>
        </w:rPr>
        <w:t>www.jrcpcx.cn）或</w:t>
      </w:r>
      <w:r>
        <w:rPr>
          <w:rFonts w:hint="eastAsia" w:ascii="黑体" w:hAnsi="黑体" w:eastAsia="黑体"/>
          <w:b/>
          <w:color w:val="000000" w:themeColor="text1"/>
          <w:sz w:val="28"/>
          <w:szCs w:val="28"/>
          <w14:textFill>
            <w14:solidFill>
              <w14:schemeClr w14:val="tx1"/>
            </w14:solidFill>
          </w14:textFill>
        </w:rPr>
        <w:t>中国理财网（</w:t>
      </w:r>
      <w:r>
        <w:rPr>
          <w:rFonts w:ascii="黑体" w:hAnsi="黑体" w:eastAsia="黑体"/>
          <w:b/>
          <w:color w:val="000000" w:themeColor="text1"/>
          <w:sz w:val="28"/>
          <w:szCs w:val="28"/>
          <w14:textFill>
            <w14:solidFill>
              <w14:schemeClr w14:val="tx1"/>
            </w14:solidFill>
          </w14:textFill>
        </w:rPr>
        <w:t>www.chinawealth.com.cn）上查询到产品相关信息，</w:t>
      </w:r>
      <w:r>
        <w:rPr>
          <w:rFonts w:hint="eastAsia" w:ascii="黑体" w:hAnsi="黑体" w:eastAsia="黑体"/>
          <w:b/>
          <w:color w:val="000000" w:themeColor="text1"/>
          <w:sz w:val="28"/>
          <w:szCs w:val="28"/>
          <w14:textFill>
            <w14:solidFill>
              <w14:schemeClr w14:val="tx1"/>
            </w14:solidFill>
          </w14:textFill>
        </w:rPr>
        <w:t>则该</w:t>
      </w:r>
      <w:r>
        <w:rPr>
          <w:rFonts w:ascii="黑体" w:hAnsi="黑体" w:eastAsia="黑体"/>
          <w:b/>
          <w:color w:val="000000" w:themeColor="text1"/>
          <w:sz w:val="28"/>
          <w:szCs w:val="28"/>
          <w14:textFill>
            <w14:solidFill>
              <w14:schemeClr w14:val="tx1"/>
            </w14:solidFill>
          </w14:textFill>
        </w:rPr>
        <w:t>产品非</w:t>
      </w:r>
      <w:r>
        <w:rPr>
          <w:rFonts w:hint="eastAsia" w:ascii="黑体" w:hAnsi="黑体" w:eastAsia="黑体"/>
          <w:b/>
          <w:color w:val="000000" w:themeColor="text1"/>
          <w:sz w:val="28"/>
          <w:szCs w:val="28"/>
          <w14:textFill>
            <w14:solidFill>
              <w14:schemeClr w14:val="tx1"/>
            </w14:solidFill>
          </w14:textFill>
        </w:rPr>
        <w:t>信银</w:t>
      </w:r>
      <w:r>
        <w:rPr>
          <w:rFonts w:ascii="黑体" w:hAnsi="黑体" w:eastAsia="黑体"/>
          <w:b/>
          <w:color w:val="000000" w:themeColor="text1"/>
          <w:sz w:val="28"/>
          <w:szCs w:val="28"/>
          <w14:textFill>
            <w14:solidFill>
              <w14:schemeClr w14:val="tx1"/>
            </w14:solidFill>
          </w14:textFill>
        </w:rPr>
        <w:t>理财发行产品。</w:t>
      </w:r>
    </w:p>
    <w:p>
      <w:pPr>
        <w:spacing w:line="300" w:lineRule="exact"/>
        <w:ind w:right="-792" w:rightChars="-330"/>
        <w:rPr>
          <w:color w:val="000000" w:themeColor="text1"/>
          <w14:textFill>
            <w14:solidFill>
              <w14:schemeClr w14:val="tx1"/>
            </w14:solidFill>
          </w14:textFill>
        </w:rPr>
      </w:pPr>
    </w:p>
    <w:p>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pPr>
        <w:spacing w:line="300" w:lineRule="exact"/>
        <w:ind w:right="-792" w:rightChars="-330"/>
        <w:jc w:val="center"/>
        <w:rPr>
          <w:rFonts w:ascii="黑体" w:eastAsia="黑体" w:cs="黑体"/>
          <w:b/>
          <w:bCs/>
          <w:color w:val="000000" w:themeColor="text1"/>
          <w14:textFill>
            <w14:solidFill>
              <w14:schemeClr w14:val="tx1"/>
            </w14:solidFill>
          </w14:textFill>
        </w:rPr>
      </w:pPr>
      <w:bookmarkStart w:id="0" w:name="_GoBack"/>
      <w:r>
        <w:rPr>
          <w:rFonts w:hint="eastAsia" w:ascii="黑体" w:eastAsia="黑体" w:cs="黑体"/>
          <w:b/>
          <w:bCs/>
          <w:color w:val="000000" w:themeColor="text1"/>
          <w14:textFill>
            <w14:solidFill>
              <w14:schemeClr w14:val="tx1"/>
            </w14:solidFill>
          </w14:textFill>
        </w:rPr>
        <w:t>信银理财理财产品说明书</w:t>
      </w:r>
    </w:p>
    <w:bookmarkEnd w:id="0"/>
    <w:p>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【信银理财日盈象天天利231号现金管理型理财产品】</w:t>
      </w:r>
      <w:r>
        <w:rPr>
          <w:rFonts w:ascii="黑体" w:hAnsi="Times New Roman" w:eastAsia="黑体" w:cs="黑体"/>
          <w:b/>
          <w:bCs/>
          <w:color w:val="000000" w:themeColor="text1"/>
          <w:sz w:val="20"/>
          <w:szCs w:val="20"/>
          <w14:textFill>
            <w14:solidFill>
              <w14:schemeClr w14:val="tx1"/>
            </w14:solidFill>
          </w14:textFill>
        </w:rPr>
        <w:t xml:space="preserve">  </w:t>
      </w:r>
    </w:p>
    <w:p>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产品代码：【AM244179】）</w:t>
      </w:r>
    </w:p>
    <w:p>
      <w:pPr>
        <w:spacing w:line="300" w:lineRule="exact"/>
        <w:ind w:right="-792" w:rightChars="-330"/>
        <w:rPr>
          <w:color w:val="000000" w:themeColor="text1"/>
          <w14:textFill>
            <w14:solidFill>
              <w14:schemeClr w14:val="tx1"/>
            </w14:solidFill>
          </w14:textFill>
        </w:rPr>
      </w:pPr>
    </w:p>
    <w:p>
      <w:pPr>
        <w:spacing w:line="300" w:lineRule="exact"/>
        <w:jc w:val="both"/>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w:t>
      </w:r>
      <w:r>
        <w:rPr>
          <w:rFonts w:ascii="黑体" w:hAnsi="Times New Roman" w:eastAsia="黑体" w:cs="黑体"/>
          <w:b/>
          <w:color w:val="000000" w:themeColor="text1"/>
          <w:sz w:val="20"/>
          <w:szCs w:val="20"/>
          <w14:textFill>
            <w14:solidFill>
              <w14:schemeClr w14:val="tx1"/>
            </w14:solidFill>
          </w14:textFill>
        </w:rPr>
        <w:t>.</w:t>
      </w:r>
      <w:r>
        <w:rPr>
          <w:rFonts w:hint="eastAsia" w:ascii="黑体" w:hAnsi="Times New Roman" w:eastAsia="黑体" w:cs="黑体"/>
          <w:b/>
          <w:color w:val="000000" w:themeColor="text1"/>
          <w:sz w:val="20"/>
          <w:szCs w:val="20"/>
          <w14:textFill>
            <w14:solidFill>
              <w14:schemeClr w14:val="tx1"/>
            </w14:solidFill>
          </w14:textFill>
        </w:rPr>
        <w:t>本理财产品的首个赎回开放日为【</w:t>
      </w:r>
      <w:r>
        <w:rPr>
          <w:rFonts w:ascii="黑体" w:hAnsi="Times New Roman" w:eastAsia="黑体" w:cs="黑体"/>
          <w:b/>
          <w:color w:val="000000" w:themeColor="text1"/>
          <w:sz w:val="20"/>
          <w:szCs w:val="20"/>
          <w14:textFill>
            <w14:solidFill>
              <w14:schemeClr w14:val="tx1"/>
            </w14:solidFill>
          </w14:textFill>
        </w:rPr>
        <w:t>202</w:t>
      </w:r>
      <w:r>
        <w:rPr>
          <w:rFonts w:hint="eastAsia" w:ascii="黑体" w:hAnsi="Times New Roman" w:eastAsia="黑体" w:cs="黑体"/>
          <w:b/>
          <w:color w:val="000000" w:themeColor="text1"/>
          <w:sz w:val="20"/>
          <w:szCs w:val="20"/>
          <w14:textFill>
            <w14:solidFill>
              <w14:schemeClr w14:val="tx1"/>
            </w14:solidFill>
          </w14:textFill>
        </w:rPr>
        <w:t>5</w:t>
      </w:r>
      <w:r>
        <w:rPr>
          <w:rFonts w:ascii="黑体" w:hAnsi="Times New Roman" w:eastAsia="黑体" w:cs="黑体"/>
          <w:b/>
          <w:color w:val="000000" w:themeColor="text1"/>
          <w:sz w:val="20"/>
          <w:szCs w:val="20"/>
          <w14:textFill>
            <w14:solidFill>
              <w14:schemeClr w14:val="tx1"/>
            </w14:solidFill>
          </w14:textFill>
        </w:rPr>
        <w:t>】年【</w:t>
      </w:r>
      <w:r>
        <w:rPr>
          <w:rFonts w:hint="eastAsia" w:ascii="黑体" w:hAnsi="Times New Roman" w:eastAsia="黑体" w:cs="黑体"/>
          <w:b/>
          <w:color w:val="000000" w:themeColor="text1"/>
          <w:sz w:val="20"/>
          <w:szCs w:val="20"/>
          <w14:textFill>
            <w14:solidFill>
              <w14:schemeClr w14:val="tx1"/>
            </w14:solidFill>
          </w14:textFill>
        </w:rPr>
        <w:t>6</w:t>
      </w:r>
      <w:r>
        <w:rPr>
          <w:rFonts w:ascii="黑体" w:hAnsi="Times New Roman" w:eastAsia="黑体" w:cs="黑体"/>
          <w:b/>
          <w:color w:val="000000" w:themeColor="text1"/>
          <w:sz w:val="20"/>
          <w:szCs w:val="20"/>
          <w14:textFill>
            <w14:solidFill>
              <w14:schemeClr w14:val="tx1"/>
            </w14:solidFill>
          </w14:textFill>
        </w:rPr>
        <w:t>】月【</w:t>
      </w:r>
      <w:r>
        <w:rPr>
          <w:rFonts w:hint="eastAsia" w:ascii="黑体" w:hAnsi="Times New Roman" w:eastAsia="黑体" w:cs="黑体"/>
          <w:b/>
          <w:color w:val="000000" w:themeColor="text1"/>
          <w:sz w:val="20"/>
          <w:szCs w:val="20"/>
          <w14:textFill>
            <w14:solidFill>
              <w14:schemeClr w14:val="tx1"/>
            </w14:solidFill>
          </w14:textFill>
        </w:rPr>
        <w:t>30</w:t>
      </w:r>
      <w:r>
        <w:rPr>
          <w:rFonts w:ascii="黑体" w:hAnsi="Times New Roman" w:eastAsia="黑体" w:cs="黑体"/>
          <w:b/>
          <w:color w:val="000000" w:themeColor="text1"/>
          <w:sz w:val="20"/>
          <w:szCs w:val="20"/>
          <w14:textFill>
            <w14:solidFill>
              <w14:schemeClr w14:val="tx1"/>
            </w14:solidFill>
          </w14:textFill>
        </w:rPr>
        <w:t>】日，之后按【日】为周期进行开放，</w:t>
      </w:r>
      <w:r>
        <w:rPr>
          <w:rFonts w:hint="eastAsia" w:ascii="黑体" w:hAnsi="Times New Roman" w:eastAsia="黑体" w:cs="黑体"/>
          <w:b/>
          <w:color w:val="000000" w:themeColor="text1"/>
          <w:sz w:val="20"/>
          <w:szCs w:val="20"/>
          <w14:textFill>
            <w14:solidFill>
              <w14:schemeClr w14:val="tx1"/>
            </w14:solidFill>
          </w14:textFill>
        </w:rPr>
        <w:t>赎回</w:t>
      </w:r>
      <w:r>
        <w:rPr>
          <w:rFonts w:ascii="黑体" w:hAnsi="Times New Roman" w:eastAsia="黑体" w:cs="黑体"/>
          <w:b/>
          <w:color w:val="000000" w:themeColor="text1"/>
          <w:sz w:val="20"/>
          <w:szCs w:val="20"/>
          <w14:textFill>
            <w14:solidFill>
              <w14:schemeClr w14:val="tx1"/>
            </w14:solidFill>
          </w14:textFill>
        </w:rPr>
        <w:t>开放日为【每个工作日】（如遇非工作日则顺延至下一工作日）</w:t>
      </w:r>
      <w:r>
        <w:rPr>
          <w:rFonts w:hint="eastAsia" w:ascii="黑体" w:hAnsi="Times New Roman" w:eastAsia="黑体" w:cs="黑体"/>
          <w:b/>
          <w:color w:val="000000" w:themeColor="text1"/>
          <w:sz w:val="20"/>
          <w:szCs w:val="20"/>
          <w14:textFill>
            <w14:solidFill>
              <w14:schemeClr w14:val="tx1"/>
            </w14:solidFill>
          </w14:textFill>
        </w:rPr>
        <w:t>。</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w:t>
      </w:r>
      <w:r>
        <w:rPr>
          <w:rFonts w:ascii="黑体" w:hAnsi="Times New Roman" w:eastAsia="黑体" w:cs="黑体"/>
          <w:color w:val="000000" w:themeColor="text1"/>
          <w:sz w:val="20"/>
          <w:szCs w:val="20"/>
          <w14:textFill>
            <w14:solidFill>
              <w14:schemeClr w14:val="tx1"/>
            </w14:solidFill>
          </w14:textFill>
        </w:rPr>
        <w:t>本</w:t>
      </w:r>
      <w:r>
        <w:rPr>
          <w:rFonts w:hint="eastAsia" w:ascii="黑体" w:hAnsi="Times New Roman" w:eastAsia="黑体" w:cs="黑体"/>
          <w:color w:val="000000" w:themeColor="text1"/>
          <w:sz w:val="20"/>
          <w:szCs w:val="20"/>
          <w14:textFill>
            <w14:solidFill>
              <w14:schemeClr w14:val="tx1"/>
            </w14:solidFill>
          </w14:textFill>
        </w:rPr>
        <w:t>理财产品的《信银理财理财</w:t>
      </w:r>
      <w:r>
        <w:rPr>
          <w:rFonts w:ascii="黑体" w:hAnsi="Times New Roman" w:eastAsia="黑体" w:cs="黑体"/>
          <w:color w:val="000000" w:themeColor="text1"/>
          <w:sz w:val="20"/>
          <w:szCs w:val="20"/>
          <w14:textFill>
            <w14:solidFill>
              <w14:schemeClr w14:val="tx1"/>
            </w14:solidFill>
          </w14:textFill>
        </w:rPr>
        <w:t>产品说明书</w:t>
      </w:r>
      <w:r>
        <w:rPr>
          <w:rFonts w:hint="eastAsia" w:ascii="黑体" w:hAnsi="Times New Roman" w:eastAsia="黑体" w:cs="黑体"/>
          <w:color w:val="000000" w:themeColor="text1"/>
          <w:sz w:val="20"/>
          <w:szCs w:val="20"/>
          <w14:textFill>
            <w14:solidFill>
              <w14:schemeClr w14:val="tx1"/>
            </w14:solidFill>
          </w14:textFill>
        </w:rPr>
        <w:t>》、</w:t>
      </w:r>
      <w:r>
        <w:rPr>
          <w:rFonts w:ascii="黑体" w:hAnsi="Times New Roman" w:eastAsia="黑体" w:cs="黑体"/>
          <w:color w:val="000000" w:themeColor="text1"/>
          <w:sz w:val="20"/>
          <w:szCs w:val="20"/>
          <w14:textFill>
            <w14:solidFill>
              <w14:schemeClr w14:val="tx1"/>
            </w14:solidFill>
          </w14:textFill>
        </w:rPr>
        <w:t>《</w:t>
      </w:r>
      <w:r>
        <w:rPr>
          <w:rFonts w:hint="eastAsia" w:ascii="黑体" w:hAnsi="Times New Roman" w:eastAsia="黑体" w:cs="黑体"/>
          <w:color w:val="000000" w:themeColor="text1"/>
          <w:sz w:val="20"/>
          <w:szCs w:val="20"/>
          <w14:textFill>
            <w14:solidFill>
              <w14:schemeClr w14:val="tx1"/>
            </w14:solidFill>
          </w14:textFill>
        </w:rPr>
        <w:t>信银</w:t>
      </w:r>
      <w:r>
        <w:rPr>
          <w:rFonts w:ascii="黑体" w:hAnsi="Times New Roman" w:eastAsia="黑体" w:cs="黑体"/>
          <w:color w:val="000000" w:themeColor="text1"/>
          <w:sz w:val="20"/>
          <w:szCs w:val="20"/>
          <w14:textFill>
            <w14:solidFill>
              <w14:schemeClr w14:val="tx1"/>
            </w14:solidFill>
          </w14:textFill>
        </w:rPr>
        <w:t>理财理财产品风险揭示书》</w:t>
      </w:r>
      <w:r>
        <w:rPr>
          <w:rFonts w:hint="eastAsia" w:ascii="黑体" w:hAnsi="Times New Roman" w:eastAsia="黑体" w:cs="黑体"/>
          <w:color w:val="000000" w:themeColor="text1"/>
          <w:sz w:val="20"/>
          <w:szCs w:val="20"/>
          <w14:textFill>
            <w14:solidFill>
              <w14:schemeClr w14:val="tx1"/>
            </w14:solidFill>
          </w14:textFill>
        </w:rPr>
        <w:t>、《信银理财理财产品投资协议书》</w:t>
      </w:r>
      <w:r>
        <w:rPr>
          <w:rFonts w:ascii="黑体" w:hAnsi="Times New Roman" w:eastAsia="黑体" w:cs="黑体"/>
          <w:color w:val="000000" w:themeColor="text1"/>
          <w:sz w:val="20"/>
          <w:szCs w:val="20"/>
          <w14:textFill>
            <w14:solidFill>
              <w14:schemeClr w14:val="tx1"/>
            </w14:solidFill>
          </w14:textFill>
        </w:rPr>
        <w:t>与《信银理财理财产品销售总协议》（含附件：客户权益须知专页）（或合作销售机构向投资者提供的理财产品销售协议文本）</w:t>
      </w:r>
      <w:r>
        <w:rPr>
          <w:rFonts w:hint="eastAsia" w:ascii="黑体" w:hAnsi="Times New Roman" w:eastAsia="黑体" w:cs="黑体"/>
          <w:color w:val="000000" w:themeColor="text1"/>
          <w:sz w:val="20"/>
          <w:szCs w:val="20"/>
          <w14:textFill>
            <w14:solidFill>
              <w14:schemeClr w14:val="tx1"/>
            </w14:solidFill>
          </w14:textFill>
        </w:rPr>
        <w:t>等文件及其不时有效修订与补充</w:t>
      </w:r>
      <w:r>
        <w:rPr>
          <w:rFonts w:ascii="黑体" w:hAnsi="Times New Roman" w:eastAsia="黑体" w:cs="黑体"/>
          <w:color w:val="000000" w:themeColor="text1"/>
          <w:sz w:val="20"/>
          <w:szCs w:val="20"/>
          <w14:textFill>
            <w14:solidFill>
              <w14:schemeClr w14:val="tx1"/>
            </w14:solidFill>
          </w14:textFill>
        </w:rPr>
        <w:t>共同构成</w:t>
      </w:r>
      <w:r>
        <w:rPr>
          <w:rFonts w:hint="eastAsia" w:ascii="黑体" w:hAnsi="Times New Roman" w:eastAsia="黑体" w:cs="黑体"/>
          <w:color w:val="000000" w:themeColor="text1"/>
          <w:sz w:val="20"/>
          <w:szCs w:val="20"/>
          <w14:textFill>
            <w14:solidFill>
              <w14:schemeClr w14:val="tx1"/>
            </w14:solidFill>
          </w14:textFill>
        </w:rPr>
        <w:t>理财产品销售文件</w:t>
      </w:r>
      <w:r>
        <w:rPr>
          <w:rFonts w:ascii="黑体" w:hAnsi="Times New Roman" w:eastAsia="黑体" w:cs="黑体"/>
          <w:color w:val="000000" w:themeColor="text1"/>
          <w:sz w:val="20"/>
          <w:szCs w:val="20"/>
          <w14:textFill>
            <w14:solidFill>
              <w14:schemeClr w14:val="tx1"/>
            </w14:solidFill>
          </w14:textFill>
        </w:rPr>
        <w:t>。</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．在购买本理财产品前，请投资者确保完全明白本理财产品的性质、其中涉及的风险以及投资者的自身情况。投资者若对本产品说明书的内容有任何疑问，请向信银理财或代销机构各营业场所或营业网点咨询。</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pPr>
        <w:snapToGrid w:val="0"/>
        <w:ind w:firstLine="400" w:firstLineChars="200"/>
        <w:jc w:val="both"/>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pPr>
        <w:snapToGrid w:val="0"/>
        <w:jc w:val="both"/>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等。产品投资涉及外币资产时，存在汇率波动带来的风险。</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本理财产品投资范围为货币市场类和固定收益类资产，具体品种包括：现金、存款、大额存单、同业存单、质押式回购和其他货币市场类资产，以及国债、地方政府债券、中央银行票据、政府机构债券、金融债券、公司信用类债券、在银行间市场和证券交易所市场发行的资产支持证券、非公开定向债务融资工具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以及国务院银行业监督管理机构规定的其他措施。</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pPr>
        <w:snapToGrid w:val="0"/>
        <w:ind w:firstLine="422"/>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pPr>
        <w:spacing w:line="300" w:lineRule="atLeast"/>
        <w:ind w:firstLine="422"/>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pPr>
        <w:spacing w:line="300" w:lineRule="atLeast"/>
        <w:ind w:firstLine="422"/>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pPr>
        <w:spacing w:line="300" w:lineRule="atLeast"/>
        <w:ind w:firstLine="422"/>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snapToGrid w:val="0"/>
        <w:jc w:val="both"/>
        <w:rPr>
          <w:rFonts w:ascii="黑体" w:hAnsi="Times New Roman" w:eastAsia="黑体" w:cs="黑体"/>
          <w:b/>
          <w:bCs/>
          <w:color w:val="000000" w:themeColor="text1"/>
          <w:sz w:val="20"/>
          <w:szCs w:val="20"/>
          <w14:textFill>
            <w14:solidFill>
              <w14:schemeClr w14:val="tx1"/>
            </w14:solidFill>
          </w14:textFill>
        </w:rPr>
      </w:pPr>
    </w:p>
    <w:p>
      <w:pPr>
        <w:snapToGrid w:val="0"/>
        <w:jc w:val="both"/>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．信银理财有限责任公司（简称“信银理财”）：为中信银行股份有限公司经国务院银行业监督管理机构批准设立的主要从事理财业务的金融机构。</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．理财业务：指信银理财接受投资者委托，按照与投资者约定的投资策略、风险承担和收益分配方式，对受托的投资者财产进行投资和管理的金融服务。</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．理财产品</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：是指信银理财按照约定条件和实际投资收益情况向投资者支付收益、不保证本金支付和收益水平的非保本理财产品。根据募集方式、运作方式、投资性质的不同，理财产品分为多种类型。</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．投资者</w:t>
      </w:r>
      <w:r>
        <w:rPr>
          <w:rFonts w:ascii="黑体" w:hAnsi="黑体" w:eastAsia="黑体"/>
          <w:color w:val="000000" w:themeColor="text1"/>
          <w:sz w:val="20"/>
          <w:szCs w:val="20"/>
          <w14:textFill>
            <w14:solidFill>
              <w14:schemeClr w14:val="tx1"/>
            </w14:solidFill>
          </w14:textFill>
        </w:rPr>
        <w:t>/客户</w:t>
      </w:r>
      <w:r>
        <w:rPr>
          <w:rFonts w:hint="eastAsia" w:ascii="黑体" w:hAnsi="黑体" w:eastAsia="黑体"/>
          <w:color w:val="000000" w:themeColor="text1"/>
          <w:sz w:val="20"/>
          <w:szCs w:val="20"/>
          <w14:textFill>
            <w14:solidFill>
              <w14:schemeClr w14:val="tx1"/>
            </w14:solidFill>
          </w14:textFill>
        </w:rPr>
        <w:t>：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．理财产品资产净值</w:t>
      </w:r>
      <w:r>
        <w:rPr>
          <w:rFonts w:ascii="黑体" w:hAnsi="黑体" w:eastAsia="黑体"/>
          <w:color w:val="000000" w:themeColor="text1"/>
          <w:sz w:val="20"/>
          <w:szCs w:val="20"/>
          <w14:textFill>
            <w14:solidFill>
              <w14:schemeClr w14:val="tx1"/>
            </w14:solidFill>
          </w14:textFill>
        </w:rPr>
        <w:t>/资产净值/净资产：资产净值=产品资产总值-产品负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6</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理财产品单位净值/单位净值/份额净值：指理财产品份额的单位净值，即每1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7</w:t>
      </w:r>
      <w:r>
        <w:rPr>
          <w:rFonts w:hint="eastAsia" w:ascii="黑体" w:hAnsi="黑体" w:eastAsia="黑体"/>
          <w:color w:val="000000" w:themeColor="text1"/>
          <w:sz w:val="20"/>
          <w:szCs w:val="20"/>
          <w14:textFill>
            <w14:solidFill>
              <w14:schemeClr w14:val="tx1"/>
            </w14:solidFill>
          </w14:textFill>
        </w:rPr>
        <w:t>．理财</w:t>
      </w:r>
      <w:r>
        <w:rPr>
          <w:rFonts w:ascii="黑体" w:hAnsi="黑体" w:eastAsia="黑体"/>
          <w:color w:val="000000" w:themeColor="text1"/>
          <w:sz w:val="20"/>
          <w:szCs w:val="20"/>
          <w14:textFill>
            <w14:solidFill>
              <w14:schemeClr w14:val="tx1"/>
            </w14:solidFill>
          </w14:textFill>
        </w:rPr>
        <w:t>产品本金/投资本金/本金：指投资者为认购/申购理财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认购费/申购费后即投资者的投资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8</w:t>
      </w:r>
      <w:r>
        <w:rPr>
          <w:rFonts w:hint="eastAsia" w:ascii="黑体" w:hAnsi="黑体" w:eastAsia="黑体"/>
          <w:color w:val="000000" w:themeColor="text1"/>
          <w:sz w:val="20"/>
          <w:szCs w:val="20"/>
          <w14:textFill>
            <w14:solidFill>
              <w14:schemeClr w14:val="tx1"/>
            </w14:solidFill>
          </w14:textFill>
        </w:rPr>
        <w:t>．理财产品</w:t>
      </w:r>
      <w:r>
        <w:rPr>
          <w:rFonts w:ascii="黑体" w:hAnsi="黑体" w:eastAsia="黑体"/>
          <w:color w:val="000000" w:themeColor="text1"/>
          <w:sz w:val="20"/>
          <w:szCs w:val="20"/>
          <w14:textFill>
            <w14:solidFill>
              <w14:schemeClr w14:val="tx1"/>
            </w14:solidFill>
          </w14:textFill>
        </w:rPr>
        <w:t>收益/投资收益/收益：</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w:t>
      </w:r>
      <w:r>
        <w:rPr>
          <w:rFonts w:ascii="黑体" w:hAnsi="黑体" w:eastAsia="黑体"/>
          <w:color w:val="000000" w:themeColor="text1"/>
          <w:sz w:val="20"/>
          <w:szCs w:val="20"/>
          <w14:textFill>
            <w14:solidFill>
              <w14:schemeClr w14:val="tx1"/>
            </w14:solidFill>
          </w14:textFill>
        </w:rPr>
        <w:t>/代销机构：</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13</w:t>
      </w:r>
      <w:r>
        <w:rPr>
          <w:rFonts w:hint="eastAsia" w:ascii="黑体" w:hAnsi="黑体" w:eastAsia="黑体"/>
          <w:color w:val="000000" w:themeColor="text1"/>
          <w:sz w:val="20"/>
          <w:szCs w:val="20"/>
          <w14:textFill>
            <w14:solidFill>
              <w14:schemeClr w14:val="tx1"/>
            </w14:solidFill>
          </w14:textFill>
        </w:rPr>
        <w:t>．现金管理类产品：指仅投资于货币市场工具，每个工作日可办理产品份额认</w:t>
      </w:r>
      <w:r>
        <w:rPr>
          <w:rFonts w:ascii="黑体" w:hAnsi="黑体" w:eastAsia="黑体"/>
          <w:color w:val="000000" w:themeColor="text1"/>
          <w:sz w:val="20"/>
          <w:szCs w:val="20"/>
          <w14:textFill>
            <w14:solidFill>
              <w14:schemeClr w14:val="tx1"/>
            </w14:solidFill>
          </w14:textFill>
        </w:rPr>
        <w:t>/申购、赎回的理财产品。</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14</w:t>
      </w:r>
      <w:r>
        <w:rPr>
          <w:rFonts w:hint="eastAsia" w:ascii="黑体" w:hAnsi="黑体" w:eastAsia="黑体"/>
          <w:color w:val="000000" w:themeColor="text1"/>
          <w:sz w:val="20"/>
          <w:szCs w:val="20"/>
          <w14:textFill>
            <w14:solidFill>
              <w14:schemeClr w14:val="tx1"/>
            </w14:solidFill>
          </w14:textFill>
        </w:rPr>
        <w:t>．流动性受限资产：指由于法律法规、监管、合同或操作障碍等原因无法以合理价格予以变现的资产，包括到期日在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16．信银理财电子渠道：指信银理财官方网站（</w:t>
      </w:r>
      <w:r>
        <w:fldChar w:fldCharType="begin"/>
      </w:r>
      <w:r>
        <w:instrText xml:space="preserve"> HYPERLINK "http://www.citic-wealth.com" </w:instrText>
      </w:r>
      <w:r>
        <w:fldChar w:fldCharType="separate"/>
      </w:r>
      <w:r>
        <w:rPr>
          <w:rStyle w:val="6"/>
          <w:rFonts w:ascii="黑体" w:hAnsi="黑体" w:eastAsia="黑体"/>
          <w:sz w:val="20"/>
          <w:szCs w:val="20"/>
        </w:rPr>
        <w:t>http://www.citic-wealth.com</w:t>
      </w:r>
      <w:r>
        <w:rPr>
          <w:rStyle w:val="6"/>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17．信银理财直销渠道：指信银理财电子渠道及营业场所。</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18．销售机构：指信银理财及代销机构。</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19．理财产品合同：指本理财产品的《信银理财理财产品说明书》、《信银理财理财产品风险揭示书》和《信银理财理财产品投资协议书》及其不时有效修订与补充。</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20．销售文件：指本理财产品的理财产品合同及《信银理财理财产品销售总协议》（含附件：客户权益须知专页）（或合作销售机构向投资者提供的理财产品销售协议文本）等文件及其不时有效修订与补充。</w:t>
      </w:r>
    </w:p>
    <w:p>
      <w:pPr>
        <w:pStyle w:val="7"/>
        <w:numPr>
          <w:ilvl w:val="255"/>
          <w:numId w:val="0"/>
        </w:numPr>
        <w:spacing w:line="300" w:lineRule="atLeast"/>
        <w:ind w:right="36" w:firstLine="400" w:firstLineChars="200"/>
        <w:rPr>
          <w:rFonts w:ascii="黑体" w:hAnsi="黑体" w:eastAsia="黑体"/>
          <w:color w:val="000000" w:themeColor="text1"/>
          <w:sz w:val="20"/>
          <w:szCs w:val="20"/>
          <w14:textFill>
            <w14:solidFill>
              <w14:schemeClr w14:val="tx1"/>
            </w14:solidFill>
          </w14:textFill>
        </w:rPr>
      </w:pP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类型对应关系：</w:t>
      </w: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6"/>
        <w:gridCol w:w="2368"/>
        <w:gridCol w:w="3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4327" w:type="dxa"/>
            <w:vAlign w:val="center"/>
          </w:tcPr>
          <w:p>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4327"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4327"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4327"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4327"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4327"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pPr>
        <w:snapToGrid w:val="0"/>
        <w:ind w:left="-2" w:leftChars="-1"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pPr>
        <w:snapToGrid w:val="0"/>
        <w:ind w:hanging="435"/>
        <w:jc w:val="both"/>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pPr>
        <w:spacing w:line="300" w:lineRule="exact"/>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．产品</w:t>
      </w:r>
      <w:r>
        <w:rPr>
          <w:rFonts w:ascii="楷体_GB2312" w:eastAsia="楷体_GB2312"/>
          <w:color w:val="000000" w:themeColor="text1"/>
          <w:sz w:val="20"/>
          <w:szCs w:val="20"/>
          <w14:textFill>
            <w14:solidFill>
              <w14:schemeClr w14:val="tx1"/>
            </w14:solidFill>
          </w14:textFill>
        </w:rPr>
        <w:t>投资策略：</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产品主要通过债券、存款等固收类资产的配置，以票息收入作为实现产品相对稳定收益的基础；同时，考虑市场波动以及组合情况，产品将通过交易、融资回购等手段增厚产品收益。</w:t>
      </w:r>
    </w:p>
    <w:p>
      <w:pPr>
        <w:spacing w:line="300" w:lineRule="exact"/>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．投资</w:t>
      </w:r>
      <w:r>
        <w:rPr>
          <w:rFonts w:ascii="楷体_GB2312" w:eastAsia="楷体_GB2312"/>
          <w:color w:val="000000" w:themeColor="text1"/>
          <w:sz w:val="20"/>
          <w:szCs w:val="20"/>
          <w14:textFill>
            <w14:solidFill>
              <w14:schemeClr w14:val="tx1"/>
            </w14:solidFill>
          </w14:textFill>
        </w:rPr>
        <w:t>范围与投资比例：</w:t>
      </w:r>
    </w:p>
    <w:p>
      <w:pPr>
        <w:spacing w:line="300" w:lineRule="exact"/>
        <w:ind w:firstLine="200" w:firstLineChars="1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本理财产品存续期间，</w:t>
      </w:r>
      <w:r>
        <w:rPr>
          <w:rFonts w:ascii="楷体_GB2312" w:eastAsia="楷体_GB2312"/>
          <w:color w:val="000000" w:themeColor="text1"/>
          <w:sz w:val="20"/>
          <w:szCs w:val="20"/>
          <w14:textFill>
            <w14:solidFill>
              <w14:schemeClr w14:val="tx1"/>
            </w14:solidFill>
          </w14:textFill>
        </w:rPr>
        <w:t>100%</w:t>
      </w:r>
      <w:r>
        <w:rPr>
          <w:rFonts w:hint="eastAsia" w:ascii="楷体_GB2312" w:eastAsia="楷体_GB2312"/>
          <w:color w:val="000000" w:themeColor="text1"/>
          <w:sz w:val="20"/>
          <w:szCs w:val="20"/>
          <w14:textFill>
            <w14:solidFill>
              <w14:schemeClr w14:val="tx1"/>
            </w14:solidFill>
          </w14:textFill>
        </w:rPr>
        <w:t>投资于以下债权</w:t>
      </w:r>
      <w:r>
        <w:rPr>
          <w:rFonts w:ascii="楷体_GB2312" w:eastAsia="楷体_GB2312"/>
          <w:color w:val="000000" w:themeColor="text1"/>
          <w:sz w:val="20"/>
          <w:szCs w:val="20"/>
          <w14:textFill>
            <w14:solidFill>
              <w14:schemeClr w14:val="tx1"/>
            </w14:solidFill>
          </w14:textFill>
        </w:rPr>
        <w:t>类资产</w:t>
      </w:r>
      <w:r>
        <w:rPr>
          <w:rFonts w:hint="eastAsia" w:ascii="楷体_GB2312"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现金；</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期限在</w:t>
      </w:r>
      <w:r>
        <w:rPr>
          <w:rFonts w:ascii="楷体_GB2312" w:eastAsia="楷体_GB2312"/>
          <w:color w:val="000000" w:themeColor="text1"/>
          <w:sz w:val="20"/>
          <w:szCs w:val="20"/>
          <w14:textFill>
            <w14:solidFill>
              <w14:schemeClr w14:val="tx1"/>
            </w14:solidFill>
          </w14:textFill>
        </w:rPr>
        <w:t>1年以内（含1年）的银行</w:t>
      </w:r>
      <w:r>
        <w:rPr>
          <w:rFonts w:hint="eastAsia" w:ascii="楷体_GB2312" w:eastAsia="楷体_GB2312"/>
          <w:color w:val="000000" w:themeColor="text1"/>
          <w:sz w:val="20"/>
          <w:szCs w:val="20"/>
          <w14:textFill>
            <w14:solidFill>
              <w14:schemeClr w14:val="tx1"/>
            </w14:solidFill>
          </w14:textFill>
        </w:rPr>
        <w:t>存款、债券回购、中央银行票据、同业存单；</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3）</w:t>
      </w:r>
      <w:r>
        <w:rPr>
          <w:rFonts w:hint="eastAsia" w:ascii="楷体_GB2312" w:eastAsia="楷体_GB2312"/>
          <w:color w:val="000000" w:themeColor="text1"/>
          <w:sz w:val="20"/>
          <w:szCs w:val="20"/>
          <w14:textFill>
            <w14:solidFill>
              <w14:schemeClr w14:val="tx1"/>
            </w14:solidFill>
          </w14:textFill>
        </w:rPr>
        <w:t>剩余期限在</w:t>
      </w:r>
      <w:r>
        <w:rPr>
          <w:rFonts w:ascii="楷体_GB2312" w:eastAsia="楷体_GB2312"/>
          <w:color w:val="000000" w:themeColor="text1"/>
          <w:sz w:val="20"/>
          <w:szCs w:val="20"/>
          <w14:textFill>
            <w14:solidFill>
              <w14:schemeClr w14:val="tx1"/>
            </w14:solidFill>
          </w14:textFill>
        </w:rPr>
        <w:t>397天以内（含397天）的债券</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olor w:val="000000" w:themeColor="text1"/>
          <w:sz w:val="20"/>
          <w:szCs w:val="20"/>
          <w14:textFill>
            <w14:solidFill>
              <w14:schemeClr w14:val="tx1"/>
            </w14:solidFill>
          </w14:textFill>
        </w:rPr>
        <w:t>）国务院银行业监督管理机构、中国人民银行认可的其他具有良好流动性的货币市场工具。</w:t>
      </w:r>
    </w:p>
    <w:p>
      <w:pPr>
        <w:spacing w:line="300" w:lineRule="exact"/>
        <w:ind w:firstLine="400" w:firstLineChars="200"/>
        <w:jc w:val="both"/>
      </w:pPr>
      <w:r>
        <w:rPr>
          <w:rFonts w:hint="eastAsia" w:ascii="Times New Roman" w:hAnsi="Times New Roman" w:eastAsia="楷体_GB2312" w:cs="楷体_GB2312"/>
          <w:color w:val="000000" w:themeColor="text1"/>
          <w:sz w:val="20"/>
          <w:szCs w:val="20"/>
          <w14:textFill>
            <w14:solidFill>
              <w14:schemeClr w14:val="tx1"/>
            </w14:solidFill>
          </w14:textFill>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调整</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不接受的，可</w:t>
      </w:r>
      <w:r>
        <w:rPr>
          <w:rFonts w:hint="eastAsia" w:ascii="楷体_GB2312" w:eastAsia="楷体_GB2312" w:cs="楷体_GB2312"/>
          <w:color w:val="000000" w:themeColor="text1"/>
          <w:sz w:val="20"/>
          <w:szCs w:val="20"/>
          <w14:textFill>
            <w14:solidFill>
              <w14:schemeClr w14:val="tx1"/>
            </w14:solidFill>
          </w14:textFill>
        </w:rPr>
        <w:t>于</w:t>
      </w:r>
      <w:r>
        <w:rPr>
          <w:rFonts w:ascii="楷体_GB2312" w:eastAsia="楷体_GB2312" w:cs="楷体_GB2312"/>
          <w:color w:val="000000" w:themeColor="text1"/>
          <w:sz w:val="20"/>
          <w:szCs w:val="20"/>
          <w14:textFill>
            <w14:solidFill>
              <w14:schemeClr w14:val="tx1"/>
            </w14:solidFill>
          </w14:textFill>
        </w:rPr>
        <w:t>最近一期开放日赎回理财产品。</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pPr>
        <w:spacing w:line="300" w:lineRule="exact"/>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．投资禁止</w:t>
      </w:r>
      <w:r>
        <w:rPr>
          <w:rFonts w:ascii="楷体_GB2312" w:eastAsia="楷体_GB2312" w:cs="楷体_GB2312"/>
          <w:color w:val="000000" w:themeColor="text1"/>
          <w:sz w:val="20"/>
          <w:szCs w:val="20"/>
          <w14:textFill>
            <w14:solidFill>
              <w14:schemeClr w14:val="tx1"/>
            </w14:solidFill>
          </w14:textFill>
        </w:rPr>
        <w:t>：</w:t>
      </w:r>
    </w:p>
    <w:p>
      <w:pPr>
        <w:spacing w:line="300" w:lineRule="exact"/>
        <w:ind w:firstLine="200" w:firstLineChars="1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本理财产品存续期间，不得投资于以下金融工具：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）股票；</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）可转换债券、可交换债券；</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）以定期存款利率为基准利率的浮动利率债券，已进入最后一个利率调整期的除外；</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）信用等级在</w:t>
      </w:r>
      <w:r>
        <w:rPr>
          <w:rFonts w:ascii="楷体_GB2312" w:eastAsia="楷体_GB2312" w:cs="楷体_GB2312"/>
          <w:color w:val="000000" w:themeColor="text1"/>
          <w:sz w:val="20"/>
          <w:szCs w:val="20"/>
          <w14:textFill>
            <w14:solidFill>
              <w14:schemeClr w14:val="tx1"/>
            </w14:solidFill>
          </w14:textFill>
        </w:rPr>
        <w:t>AA+</w:t>
      </w:r>
      <w:r>
        <w:rPr>
          <w:rFonts w:hint="eastAsia" w:ascii="楷体_GB2312" w:eastAsia="楷体_GB2312" w:cs="楷体_GB2312"/>
          <w:color w:val="000000" w:themeColor="text1"/>
          <w:sz w:val="20"/>
          <w:szCs w:val="20"/>
          <w14:textFill>
            <w14:solidFill>
              <w14:schemeClr w14:val="tx1"/>
            </w14:solidFill>
          </w14:textFill>
        </w:rPr>
        <w:t>以下的债券、资产支持证券；</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）国务院银行业监督管理机构、中国人民银行禁止投资的其他金融工具。</w:t>
      </w:r>
    </w:p>
    <w:p>
      <w:pPr>
        <w:spacing w:line="300" w:lineRule="exact"/>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a.（1）本产品投资于同一机构发行的债券及其作为原始权益人的资产支持证券的比例合计不得超过产品资产净值的10%，投资于国债、中央银行票据、政策性金融债券的除外。</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2）本产品投资于所有主体信用评级低于AAA的机构发行的金融工具的比例合计不得超过产品资产净值的10%，其中单一机构发行的金融工具的比例合计不得超过产品资产净值的2%；本款所称金融工具包括债券、银行存款、同业存单、相关机构作为原始权益人的资产支持证券及国务院银行业监督管理机构认可的其他金融工具。</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3）本产品投资于有固定期限银行存款的比例合计不得超过产品资产净值的30%，投资于有存款期限，根据协议可提前支取的银行存款除外；本产品投资于主体信用评级为AAA的同一商业银行的银行存款、同业存单占产品资产净值的比例合计不得超过20%。</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非主观因素导致突破前款各项比例限制的，管理人应当在10个交易日内调整至符合要求，国务院银行业监督管理机构规定的特殊情形除外。</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b.（1）本产品持有不低于产品资产净值5%的现金、国债、中央银行票据、政策性金融债券；</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（2）本产品持有不低于产品资产净值10%的现金、国债、中央银行票据、政策性金融债券以及五个交易日内到期的其他金融工具；</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（4）本产品的杠杆水平不得超过120%，发生巨额赎回、连续3个交易日累计赎回20%以上或者连续5个交易日累计赎回30%以上的情形除外。</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非主观因素导致突破前款第（2）（4）项比例限制的，管理人应当在10个交易日内调整至符合要求；非主观因素导致突破前款第（3）项比例限制的，管理人不得主动新增流动性受限资产的投资。</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c.（1）本产品投资组合的平均剩余期限不超过120天，平均剩余存续期限不超过240天。</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2）当本产品前10名投资者的持有份额合计超过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3）当本产品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非因管理人主观因素导致突破前款（2）（3）项比例限制的，管理人应当在10个交易日内调整至符合要求，国务院银行业监督管理机构规定的特殊情形除外。</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hAnsi="Times New Roman" w:eastAsia="楷体_GB2312" w:cs="楷体_GB2312"/>
          <w:color w:val="000000" w:themeColor="text1"/>
          <w:sz w:val="20"/>
          <w:szCs w:val="20"/>
          <w14:textFill>
            <w14:solidFill>
              <w14:schemeClr w14:val="tx1"/>
            </w14:solidFill>
          </w14:textFill>
        </w:rPr>
        <w:t>d.</w:t>
      </w:r>
      <w:r>
        <w:rPr>
          <w:rFonts w:hint="eastAsia" w:ascii="楷体_GB2312" w:hAnsi="Times New Roman" w:eastAsia="楷体_GB2312" w:cs="楷体_GB2312"/>
          <w:color w:val="000000" w:themeColor="text1"/>
          <w:sz w:val="20"/>
          <w:szCs w:val="20"/>
          <w14:textFill>
            <w14:solidFill>
              <w14:schemeClr w14:val="tx1"/>
            </w14:solidFill>
          </w14:textFill>
        </w:rPr>
        <w:t>本产品不得同时出现下述情形:</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（1）计划投资不存在活跃交易市场，并且需要采用估值技术确定公允价值的资产；</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（2）计划投资上述资产的比例达到产品净资产50%以上。</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非因管理人主观因素导致突破前款规定比例限制的，不得新增投资上述资产。</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e.直接投资于流动性受限资产的市值在开放日不得超过该产品资产净值的15%。因证券市场波动、理财产品规模变动等因素导致理财产品不符合本条规定比例限制的，不得主动新增投资流动性受限资产。</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f.在开放日前一工作日内，7个工作日可变现资产的可变现价值应当不低于产品资产净值的10%。</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pPr>
        <w:snapToGrid w:val="0"/>
        <w:ind w:left="-2" w:leftChars="-1" w:right="53" w:rightChars="22"/>
        <w:rPr>
          <w:color w:val="000000" w:themeColor="text1"/>
          <w14:textFill>
            <w14:solidFill>
              <w14:schemeClr w14:val="tx1"/>
            </w14:solidFill>
          </w14:textFill>
        </w:rPr>
      </w:pPr>
      <w:r>
        <w:rPr>
          <w:rFonts w:ascii="Times New Roman" w:hAnsi="Times New Roman" w:eastAsia="楷体_GB2312"/>
          <w:color w:val="000000" w:themeColor="text1"/>
          <w:sz w:val="20"/>
          <w:szCs w:val="20"/>
          <w14:textFill>
            <w14:solidFill>
              <w14:schemeClr w14:val="tx1"/>
            </w14:solidFill>
          </w14:textFill>
        </w:rPr>
        <w:t> </w:t>
      </w: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1"/>
        <w:gridCol w:w="6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873" w:type="pct"/>
            <w:vAlign w:val="center"/>
          </w:tcPr>
          <w:p>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【信银理财日盈象天天利231号现金管理型理财产品】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【Z7002624000617</w:t>
            </w:r>
            <w:r>
              <w:rPr>
                <w:rFonts w:ascii="楷体_GB2312" w:eastAsia="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【AM244179</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公募</w:t>
            </w:r>
            <w:r>
              <w:rPr>
                <w:rFonts w:ascii="楷体_GB2312" w:eastAsia="楷体_GB2312" w:cs="楷体_GB2312"/>
                <w:color w:val="000000" w:themeColor="text1"/>
                <w:sz w:val="20"/>
                <w:szCs w:val="20"/>
                <w14:textFill>
                  <w14:solidFill>
                    <w14:schemeClr w14:val="tx1"/>
                  </w14:solidFill>
                </w14:textFill>
              </w:rPr>
              <w:t>、固定收益类</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PR</w:t>
            </w:r>
            <w:r>
              <w:rPr>
                <w:rFonts w:hint="eastAsia" w:ascii="楷体_GB2312" w:eastAsia="楷体_GB2312" w:cs="楷体_GB2312"/>
                <w:color w:val="000000" w:themeColor="text1"/>
                <w:sz w:val="20"/>
                <w:szCs w:val="20"/>
                <w14:textFill>
                  <w14:solidFill>
                    <w14:schemeClr w14:val="tx1"/>
                  </w14:solidFill>
                </w14:textFill>
              </w:rPr>
              <w:t>【1】级（【谨慎】</w:t>
            </w:r>
            <w:r>
              <w:rPr>
                <w:rFonts w:ascii="楷体_GB2312" w:eastAsia="楷体_GB2312" w:cs="楷体_GB2312"/>
                <w:color w:val="000000" w:themeColor="text1"/>
                <w:sz w:val="20"/>
                <w:szCs w:val="20"/>
                <w14:textFill>
                  <w14:solidFill>
                    <w14:schemeClr w14:val="tx1"/>
                  </w14:solidFill>
                </w14:textFill>
              </w:rPr>
              <w:t>型</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w:t>
            </w:r>
            <w:r>
              <w:rPr>
                <w:rFonts w:ascii="楷体_GB2312" w:eastAsia="楷体_GB2312" w:cs="楷体_GB2312"/>
                <w:color w:val="000000" w:themeColor="text1"/>
                <w:sz w:val="20"/>
                <w:szCs w:val="20"/>
                <w14:textFill>
                  <w14:solidFill>
                    <w14:schemeClr w14:val="tx1"/>
                  </w14:solidFill>
                </w14:textFill>
              </w:rPr>
              <w:t>/机构】</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color w:val="000000" w:themeColor="text1"/>
                <w:sz w:val="20"/>
                <w:szCs w:val="20"/>
                <w14:textFill>
                  <w14:solidFill>
                    <w14:schemeClr w14:val="tx1"/>
                  </w14:solidFill>
                </w14:textFill>
              </w:rPr>
              <w:t>【谨慎</w:t>
            </w:r>
            <w:r>
              <w:rPr>
                <w:rFonts w:ascii="楷体_GB2312" w:eastAsia="楷体_GB2312" w:cs="楷体_GB2312"/>
                <w:color w:val="000000" w:themeColor="text1"/>
                <w:sz w:val="20"/>
                <w:szCs w:val="20"/>
                <w14:textFill>
                  <w14:solidFill>
                    <w14:schemeClr w14:val="tx1"/>
                  </w14:solidFill>
                </w14:textFill>
              </w:rPr>
              <w:t>型</w:t>
            </w:r>
            <w:r>
              <w:rPr>
                <w:rFonts w:hint="eastAsia" w:ascii="楷体_GB2312" w:eastAsia="楷体_GB2312" w:cs="Times New Roman"/>
                <w:color w:val="000000" w:themeColor="text1"/>
                <w:sz w:val="20"/>
                <w:szCs w:val="20"/>
                <w14:textFill>
                  <w14:solidFill>
                    <w14:schemeClr w14:val="tx1"/>
                  </w14:solidFill>
                </w14:textFill>
              </w:rPr>
              <w:t>】【稳健</w:t>
            </w:r>
            <w:r>
              <w:rPr>
                <w:rFonts w:ascii="楷体_GB2312" w:eastAsia="楷体_GB2312" w:cs="楷体_GB2312"/>
                <w:color w:val="000000" w:themeColor="text1"/>
                <w:sz w:val="20"/>
                <w:szCs w:val="20"/>
                <w14:textFill>
                  <w14:solidFill>
                    <w14:schemeClr w14:val="tx1"/>
                  </w14:solidFill>
                </w14:textFill>
              </w:rPr>
              <w:t>型</w:t>
            </w:r>
            <w:r>
              <w:rPr>
                <w:rFonts w:hint="eastAsia" w:ascii="楷体_GB2312" w:eastAsia="楷体_GB2312" w:cs="Times New Roman"/>
                <w:color w:val="000000" w:themeColor="text1"/>
                <w:sz w:val="20"/>
                <w:szCs w:val="20"/>
                <w14:textFill>
                  <w14:solidFill>
                    <w14:schemeClr w14:val="tx1"/>
                  </w14:solidFill>
                </w14:textFill>
              </w:rPr>
              <w:t>】【平衡</w:t>
            </w:r>
            <w:r>
              <w:rPr>
                <w:rFonts w:ascii="楷体_GB2312" w:eastAsia="楷体_GB2312" w:cs="楷体_GB2312"/>
                <w:color w:val="000000" w:themeColor="text1"/>
                <w:sz w:val="20"/>
                <w:szCs w:val="20"/>
                <w14:textFill>
                  <w14:solidFill>
                    <w14:schemeClr w14:val="tx1"/>
                  </w14:solidFill>
                </w14:textFill>
              </w:rPr>
              <w:t>型</w:t>
            </w:r>
            <w:r>
              <w:rPr>
                <w:rFonts w:hint="eastAsia" w:ascii="楷体_GB2312" w:eastAsia="楷体_GB2312" w:cs="Times New Roman"/>
                <w:color w:val="000000" w:themeColor="text1"/>
                <w:sz w:val="20"/>
                <w:szCs w:val="20"/>
                <w14:textFill>
                  <w14:solidFill>
                    <w14:schemeClr w14:val="tx1"/>
                  </w14:solidFill>
                </w14:textFill>
              </w:rPr>
              <w:t>】【进取</w:t>
            </w:r>
            <w:r>
              <w:rPr>
                <w:rFonts w:ascii="楷体_GB2312" w:eastAsia="楷体_GB2312" w:cs="楷体_GB2312"/>
                <w:color w:val="000000" w:themeColor="text1"/>
                <w:sz w:val="20"/>
                <w:szCs w:val="20"/>
                <w14:textFill>
                  <w14:solidFill>
                    <w14:schemeClr w14:val="tx1"/>
                  </w14:solidFill>
                </w14:textFill>
              </w:rPr>
              <w:t>型</w:t>
            </w:r>
            <w:r>
              <w:rPr>
                <w:rFonts w:hint="eastAsia" w:ascii="楷体_GB2312" w:eastAsia="楷体_GB2312" w:cs="Times New Roman"/>
                <w:color w:val="000000" w:themeColor="text1"/>
                <w:sz w:val="20"/>
                <w:szCs w:val="20"/>
                <w14:textFill>
                  <w14:solidFill>
                    <w14:schemeClr w14:val="tx1"/>
                  </w14:solidFill>
                </w14:textFill>
              </w:rPr>
              <w:t>】【激进</w:t>
            </w:r>
            <w:r>
              <w:rPr>
                <w:rFonts w:ascii="楷体_GB2312" w:eastAsia="楷体_GB2312" w:cs="楷体_GB2312"/>
                <w:color w:val="000000" w:themeColor="text1"/>
                <w:sz w:val="20"/>
                <w:szCs w:val="20"/>
                <w14:textFill>
                  <w14:solidFill>
                    <w14:schemeClr w14:val="tx1"/>
                  </w14:solidFill>
                </w14:textFill>
              </w:rPr>
              <w:t>型</w:t>
            </w:r>
            <w:r>
              <w:rPr>
                <w:rFonts w:hint="eastAsia" w:ascii="楷体_GB2312" w:eastAsia="楷体_GB2312" w:cs="Times New Roman"/>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873" w:type="pct"/>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B类份额：</w:t>
            </w:r>
            <w:r>
              <w:rPr>
                <w:rFonts w:ascii="楷体_GB2312" w:eastAsia="楷体_GB2312" w:cs="楷体_GB2312"/>
                <w:sz w:val="20"/>
                <w:szCs w:val="20"/>
              </w:rPr>
              <w:t>份额代码【</w:t>
            </w:r>
            <w:r>
              <w:rPr>
                <w:rFonts w:hint="eastAsia" w:ascii="楷体_GB2312" w:eastAsia="楷体_GB2312" w:cs="楷体_GB2312"/>
                <w:sz w:val="20"/>
                <w:szCs w:val="20"/>
              </w:rPr>
              <w:t>AM244179B</w:t>
            </w:r>
            <w:r>
              <w:rPr>
                <w:rFonts w:ascii="楷体_GB2312" w:eastAsia="楷体_GB2312" w:cs="楷体_GB2312"/>
                <w:sz w:val="20"/>
                <w:szCs w:val="20"/>
              </w:rPr>
              <w:t>】</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M类份额：</w:t>
            </w:r>
            <w:r>
              <w:rPr>
                <w:rFonts w:ascii="楷体_GB2312" w:eastAsia="楷体_GB2312" w:cs="楷体_GB2312"/>
                <w:sz w:val="20"/>
                <w:szCs w:val="20"/>
              </w:rPr>
              <w:t>份额代码【</w:t>
            </w:r>
            <w:r>
              <w:rPr>
                <w:rFonts w:hint="eastAsia" w:ascii="楷体_GB2312" w:eastAsia="楷体_GB2312" w:cs="楷体_GB2312"/>
                <w:sz w:val="20"/>
                <w:szCs w:val="20"/>
              </w:rPr>
              <w:t>AM244179M</w:t>
            </w:r>
            <w:r>
              <w:rPr>
                <w:rFonts w:ascii="楷体_GB2312" w:eastAsia="楷体_GB2312" w:cs="楷体_GB2312"/>
                <w:sz w:val="20"/>
                <w:szCs w:val="20"/>
              </w:rPr>
              <w:t>】</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G</w:t>
            </w:r>
            <w:r>
              <w:rPr>
                <w:rFonts w:hint="eastAsia" w:ascii="楷体_GB2312" w:eastAsia="楷体_GB2312" w:cs="楷体_GB2312"/>
                <w:sz w:val="20"/>
                <w:szCs w:val="20"/>
              </w:rPr>
              <w:t>类份额：</w:t>
            </w:r>
            <w:r>
              <w:rPr>
                <w:rFonts w:ascii="楷体_GB2312" w:eastAsia="楷体_GB2312" w:cs="楷体_GB2312"/>
                <w:sz w:val="20"/>
                <w:szCs w:val="20"/>
              </w:rPr>
              <w:t>份额代码【</w:t>
            </w:r>
            <w:r>
              <w:rPr>
                <w:rFonts w:hint="eastAsia" w:ascii="楷体_GB2312" w:eastAsia="楷体_GB2312" w:cs="楷体_GB2312"/>
                <w:sz w:val="20"/>
                <w:szCs w:val="20"/>
              </w:rPr>
              <w:t>AM244179</w:t>
            </w:r>
            <w:r>
              <w:rPr>
                <w:rFonts w:ascii="楷体_GB2312" w:eastAsia="楷体_GB2312" w:cs="楷体_GB2312"/>
                <w:sz w:val="20"/>
                <w:szCs w:val="20"/>
              </w:rPr>
              <w:t>G】</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H</w:t>
            </w:r>
            <w:r>
              <w:rPr>
                <w:rFonts w:hint="eastAsia" w:ascii="楷体_GB2312" w:eastAsia="楷体_GB2312" w:cs="楷体_GB2312"/>
                <w:sz w:val="20"/>
                <w:szCs w:val="20"/>
              </w:rPr>
              <w:t>类份额：</w:t>
            </w:r>
            <w:r>
              <w:rPr>
                <w:rFonts w:ascii="楷体_GB2312" w:eastAsia="楷体_GB2312" w:cs="楷体_GB2312"/>
                <w:sz w:val="20"/>
                <w:szCs w:val="20"/>
              </w:rPr>
              <w:t>份额代码【</w:t>
            </w:r>
            <w:r>
              <w:rPr>
                <w:rFonts w:hint="eastAsia" w:ascii="楷体_GB2312" w:eastAsia="楷体_GB2312" w:cs="楷体_GB2312"/>
                <w:sz w:val="20"/>
                <w:szCs w:val="20"/>
              </w:rPr>
              <w:t>AM244179</w:t>
            </w:r>
            <w:r>
              <w:rPr>
                <w:rFonts w:ascii="楷体_GB2312" w:eastAsia="楷体_GB2312" w:cs="楷体_GB2312"/>
                <w:sz w:val="20"/>
                <w:szCs w:val="20"/>
              </w:rPr>
              <w:t>H】</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L</w:t>
            </w:r>
            <w:r>
              <w:rPr>
                <w:rFonts w:hint="eastAsia" w:ascii="楷体_GB2312" w:eastAsia="楷体_GB2312" w:cs="楷体_GB2312"/>
                <w:sz w:val="20"/>
                <w:szCs w:val="20"/>
              </w:rPr>
              <w:t>类份额：</w:t>
            </w:r>
            <w:r>
              <w:rPr>
                <w:rFonts w:ascii="楷体_GB2312" w:eastAsia="楷体_GB2312" w:cs="楷体_GB2312"/>
                <w:sz w:val="20"/>
                <w:szCs w:val="20"/>
              </w:rPr>
              <w:t>份额代码【</w:t>
            </w:r>
            <w:r>
              <w:rPr>
                <w:rFonts w:hint="eastAsia" w:ascii="楷体_GB2312" w:eastAsia="楷体_GB2312" w:cs="楷体_GB2312"/>
                <w:sz w:val="20"/>
                <w:szCs w:val="20"/>
              </w:rPr>
              <w:t>AM244179</w:t>
            </w:r>
            <w:r>
              <w:rPr>
                <w:rFonts w:ascii="楷体_GB2312" w:eastAsia="楷体_GB2312" w:cs="楷体_GB2312"/>
                <w:sz w:val="20"/>
                <w:szCs w:val="20"/>
              </w:rPr>
              <w:t>L】</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p>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p>
        </w:tc>
        <w:tc>
          <w:tcPr>
            <w:tcW w:w="3873" w:type="pct"/>
            <w:vAlign w:val="center"/>
          </w:tcPr>
          <w:p>
            <w:pPr>
              <w:pStyle w:val="7"/>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02</w:t>
            </w: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【26】</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pPr>
              <w:pStyle w:val="7"/>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投资者在信银理财直销渠道购买产品的，募集期内可以撤单。撤单具体规则以信银理财说明或公布的操作方式为准。</w:t>
            </w:r>
          </w:p>
          <w:p>
            <w:pPr>
              <w:pStyle w:val="7"/>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投资者在代销机构购买理财产品的，募集期内是否可以撤单以及撤单规则，以代销机构说明或公布的操作方式为准。</w:t>
            </w:r>
          </w:p>
          <w:p>
            <w:pPr>
              <w:pStyle w:val="7"/>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“可以撤单”则意味着投资者有权撤销其已向信银理财或代销机构提交的认购申请。</w:t>
            </w:r>
          </w:p>
          <w:p>
            <w:pPr>
              <w:pStyle w:val="7"/>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运作起始日</w:t>
            </w:r>
          </w:p>
        </w:tc>
        <w:tc>
          <w:tcPr>
            <w:tcW w:w="3873" w:type="pct"/>
            <w:vAlign w:val="center"/>
          </w:tcPr>
          <w:p>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02</w:t>
            </w: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【27】</w:t>
            </w:r>
            <w:r>
              <w:rPr>
                <w:rFonts w:ascii="楷体_GB2312" w:eastAsia="楷体_GB2312" w:cs="楷体_GB2312"/>
                <w:color w:val="000000" w:themeColor="text1"/>
                <w:sz w:val="20"/>
                <w:szCs w:val="20"/>
                <w14:textFill>
                  <w14:solidFill>
                    <w14:schemeClr w14:val="tx1"/>
                  </w14:solidFill>
                </w14:textFill>
              </w:rPr>
              <w:t>日</w:t>
            </w:r>
            <w:r>
              <w:rPr>
                <w:rFonts w:hint="eastAsia" w:ascii="Times New Roman" w:hAnsi="Times New Roman" w:eastAsia="楷体_GB2312" w:cs="Times New Roman"/>
                <w:color w:val="000000" w:themeColor="text1"/>
                <w:sz w:val="20"/>
                <w:szCs w:val="20"/>
                <w14:textFill>
                  <w14:solidFill>
                    <w14:schemeClr w14:val="tx1"/>
                  </w14:solidFill>
                </w14:textFill>
              </w:rPr>
              <w:t>（如信银理财调整募集期，则运作起始日将相应调整。）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无固定期限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873" w:type="pct"/>
            <w:vAlign w:val="center"/>
          </w:tcPr>
          <w:p>
            <w:pPr>
              <w:spacing w:line="300" w:lineRule="exact"/>
              <w:ind w:left="-2" w:leftChars="-1" w:right="96" w:rightChars="40"/>
              <w:rPr>
                <w:rFonts w:ascii="楷体_GB2312" w:eastAsia="楷体_GB2312" w:cs="楷体_GB2312"/>
                <w:sz w:val="20"/>
                <w:szCs w:val="20"/>
              </w:rPr>
            </w:pPr>
            <w:r>
              <w:rPr>
                <w:rFonts w:ascii="楷体_GB2312" w:eastAsia="楷体_GB2312" w:cs="楷体_GB2312"/>
                <w:sz w:val="20"/>
                <w:szCs w:val="20"/>
              </w:rPr>
              <w:t>1.</w:t>
            </w:r>
            <w:r>
              <w:rPr>
                <w:rFonts w:hint="eastAsia" w:ascii="楷体_GB2312" w:eastAsia="楷体_GB2312" w:cs="楷体_GB2312"/>
                <w:sz w:val="20"/>
                <w:szCs w:val="20"/>
              </w:rPr>
              <w:t>本产品在</w:t>
            </w:r>
            <w:r>
              <w:rPr>
                <w:rFonts w:ascii="楷体_GB2312" w:eastAsia="楷体_GB2312" w:cs="楷体_GB2312"/>
                <w:sz w:val="20"/>
                <w:szCs w:val="20"/>
              </w:rPr>
              <w:t>【</w:t>
            </w:r>
            <w:r>
              <w:rPr>
                <w:rFonts w:hint="eastAsia" w:ascii="楷体_GB2312" w:eastAsia="楷体_GB2312" w:cs="楷体_GB2312"/>
                <w:sz w:val="20"/>
                <w:szCs w:val="20"/>
              </w:rPr>
              <w:t>2</w:t>
            </w:r>
            <w:r>
              <w:rPr>
                <w:rFonts w:ascii="楷体_GB2312" w:eastAsia="楷体_GB2312" w:cs="楷体_GB2312"/>
                <w:sz w:val="20"/>
                <w:szCs w:val="20"/>
              </w:rPr>
              <w:t>02</w:t>
            </w:r>
            <w:r>
              <w:rPr>
                <w:rFonts w:hint="eastAsia" w:ascii="楷体_GB2312" w:eastAsia="楷体_GB2312" w:cs="楷体_GB2312"/>
                <w:sz w:val="20"/>
                <w:szCs w:val="20"/>
              </w:rPr>
              <w:t>5</w:t>
            </w:r>
            <w:r>
              <w:rPr>
                <w:rFonts w:ascii="楷体_GB2312" w:eastAsia="楷体_GB2312" w:cs="楷体_GB2312"/>
                <w:sz w:val="20"/>
                <w:szCs w:val="20"/>
              </w:rPr>
              <w:t>】年【</w:t>
            </w:r>
            <w:r>
              <w:rPr>
                <w:rFonts w:hint="eastAsia" w:ascii="楷体_GB2312" w:eastAsia="楷体_GB2312" w:cs="楷体_GB2312"/>
                <w:sz w:val="20"/>
                <w:szCs w:val="20"/>
              </w:rPr>
              <w:t>6</w:t>
            </w:r>
            <w:r>
              <w:rPr>
                <w:rFonts w:ascii="楷体_GB2312" w:eastAsia="楷体_GB2312" w:cs="楷体_GB2312"/>
                <w:sz w:val="20"/>
                <w:szCs w:val="20"/>
              </w:rPr>
              <w:t>】月【</w:t>
            </w:r>
            <w:r>
              <w:rPr>
                <w:rFonts w:hint="eastAsia" w:ascii="楷体_GB2312" w:eastAsia="楷体_GB2312" w:cs="楷体_GB2312"/>
                <w:sz w:val="20"/>
                <w:szCs w:val="20"/>
              </w:rPr>
              <w:t>30</w:t>
            </w:r>
            <w:r>
              <w:rPr>
                <w:rFonts w:ascii="楷体_GB2312" w:eastAsia="楷体_GB2312" w:cs="楷体_GB2312"/>
                <w:sz w:val="20"/>
                <w:szCs w:val="20"/>
              </w:rPr>
              <w:t>】日开放申购，之后按【日】为周期进行开放，开放日为【每个工作日】（如遇非工作日则顺延至下一工作日）。本产品首个赎回开放日为【</w:t>
            </w:r>
            <w:r>
              <w:rPr>
                <w:rFonts w:hint="eastAsia" w:ascii="楷体_GB2312" w:eastAsia="楷体_GB2312" w:cs="楷体_GB2312"/>
                <w:sz w:val="20"/>
                <w:szCs w:val="20"/>
              </w:rPr>
              <w:t>2</w:t>
            </w:r>
            <w:r>
              <w:rPr>
                <w:rFonts w:ascii="楷体_GB2312" w:eastAsia="楷体_GB2312" w:cs="楷体_GB2312"/>
                <w:sz w:val="20"/>
                <w:szCs w:val="20"/>
              </w:rPr>
              <w:t>02</w:t>
            </w:r>
            <w:r>
              <w:rPr>
                <w:rFonts w:hint="eastAsia" w:ascii="楷体_GB2312" w:eastAsia="楷体_GB2312" w:cs="楷体_GB2312"/>
                <w:sz w:val="20"/>
                <w:szCs w:val="20"/>
              </w:rPr>
              <w:t>5</w:t>
            </w:r>
            <w:r>
              <w:rPr>
                <w:rFonts w:ascii="楷体_GB2312" w:eastAsia="楷体_GB2312" w:cs="楷体_GB2312"/>
                <w:sz w:val="20"/>
                <w:szCs w:val="20"/>
              </w:rPr>
              <w:t>】年【</w:t>
            </w:r>
            <w:r>
              <w:rPr>
                <w:rFonts w:hint="eastAsia" w:ascii="楷体_GB2312" w:eastAsia="楷体_GB2312" w:cs="楷体_GB2312"/>
                <w:sz w:val="20"/>
                <w:szCs w:val="20"/>
              </w:rPr>
              <w:t>6</w:t>
            </w:r>
            <w:r>
              <w:rPr>
                <w:rFonts w:ascii="楷体_GB2312" w:eastAsia="楷体_GB2312" w:cs="楷体_GB2312"/>
                <w:sz w:val="20"/>
                <w:szCs w:val="20"/>
              </w:rPr>
              <w:t>】月【</w:t>
            </w:r>
            <w:r>
              <w:rPr>
                <w:rFonts w:hint="eastAsia" w:ascii="楷体_GB2312" w:eastAsia="楷体_GB2312" w:cs="楷体_GB2312"/>
                <w:sz w:val="20"/>
                <w:szCs w:val="20"/>
              </w:rPr>
              <w:t>30</w:t>
            </w:r>
            <w:r>
              <w:rPr>
                <w:rFonts w:ascii="楷体_GB2312" w:eastAsia="楷体_GB2312" w:cs="楷体_GB2312"/>
                <w:sz w:val="20"/>
                <w:szCs w:val="20"/>
              </w:rPr>
              <w:t>】日，之后按【日】为周期进行开放，开放日为【每个工作日】（如遇非工作日则顺延至下一工作日）。</w:t>
            </w:r>
          </w:p>
          <w:p>
            <w:pPr>
              <w:spacing w:line="300" w:lineRule="exact"/>
              <w:ind w:left="-2" w:leftChars="-1" w:right="96" w:rightChars="4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873" w:type="pct"/>
            <w:vAlign w:val="center"/>
          </w:tcPr>
          <w:p>
            <w:pPr>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w:t>
            </w:r>
            <w:r>
              <w:rPr>
                <w:rFonts w:ascii="楷体_GB2312" w:eastAsia="楷体_GB2312" w:cs="楷体_GB2312"/>
                <w:color w:val="000000" w:themeColor="text1"/>
                <w:sz w:val="20"/>
                <w:szCs w:val="20"/>
                <w14:textFill>
                  <w14:solidFill>
                    <w14:schemeClr w14:val="tx1"/>
                  </w14:solidFill>
                </w14:textFill>
              </w:rPr>
              <w:t>类份额：【中国人民银行公布的同期七天通知存款利率】</w:t>
            </w:r>
          </w:p>
          <w:p>
            <w:pPr>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M</w:t>
            </w:r>
            <w:r>
              <w:rPr>
                <w:rFonts w:ascii="楷体_GB2312" w:eastAsia="楷体_GB2312" w:cs="楷体_GB2312"/>
                <w:color w:val="000000" w:themeColor="text1"/>
                <w:sz w:val="20"/>
                <w:szCs w:val="20"/>
                <w14:textFill>
                  <w14:solidFill>
                    <w14:schemeClr w14:val="tx1"/>
                  </w14:solidFill>
                </w14:textFill>
              </w:rPr>
              <w:t>类份额：【中国人民银行公布的同期七天通知存款利率】</w:t>
            </w:r>
          </w:p>
          <w:p>
            <w:pPr>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G类份额：【中国人民银行公布的同期七天通知存款利率】</w:t>
            </w:r>
          </w:p>
          <w:p>
            <w:pPr>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H类份额：【中国人民银行公布的同期七天通知存款利率】</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L类份额：【中国人民银行公布的同期七天通知存款利率】</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业绩比较基准测算依据：【本理财产品为固定收益类产品，计划投资存单、存款以及剩余期限在397天内债券，参考同业均广泛采用</w:t>
            </w:r>
            <w:r>
              <w:rPr>
                <w:rFonts w:ascii="楷体_GB2312" w:eastAsia="楷体_GB2312" w:cs="楷体_GB2312"/>
                <w:color w:val="000000" w:themeColor="text1"/>
                <w:sz w:val="20"/>
                <w:szCs w:val="20"/>
                <w14:textFill>
                  <w14:solidFill>
                    <w14:schemeClr w14:val="tx1"/>
                  </w14:solidFill>
                </w14:textFill>
              </w:rPr>
              <w:t>中国人民银行公布的同期七天通知存款利率</w:t>
            </w:r>
            <w:r>
              <w:rPr>
                <w:rFonts w:hint="eastAsia" w:ascii="楷体_GB2312" w:eastAsia="楷体_GB2312" w:cs="楷体_GB2312"/>
                <w:color w:val="000000" w:themeColor="text1"/>
                <w:sz w:val="20"/>
                <w:szCs w:val="20"/>
                <w14:textFill>
                  <w14:solidFill>
                    <w14:schemeClr w14:val="tx1"/>
                  </w14:solidFill>
                </w14:textFill>
              </w:rPr>
              <w:t>作为业绩基准，因此本产品业绩基准为</w:t>
            </w:r>
            <w:r>
              <w:rPr>
                <w:rFonts w:ascii="楷体_GB2312" w:eastAsia="楷体_GB2312" w:cs="楷体_GB2312"/>
                <w:color w:val="000000" w:themeColor="text1"/>
                <w:sz w:val="20"/>
                <w:szCs w:val="20"/>
                <w14:textFill>
                  <w14:solidFill>
                    <w14:schemeClr w14:val="tx1"/>
                  </w14:solidFill>
                </w14:textFill>
              </w:rPr>
              <w:t>中国人民银行公布的同期七天通知存款利率】</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2】</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873" w:type="pct"/>
            <w:vAlign w:val="center"/>
          </w:tcPr>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30-17:00】，申购和赎回交易时间为【8</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30-17:00】（信银理财有权变更交易时间，请投资者关注管理人及销售机构相关信息披露。如果投资者通过信银理财直销渠道购买的，则交易时间以信银理财直销渠道的营业时间和公布的交易时间为准，且必须在【8</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30-17:00】内）；募集期内，信银理财在认购交易时间内受理投资者的认购申请。投资者通过代销机构购买理财产品的，还应按照代销机构对于交易时间以及交易申请的相关规定执行，但认购交易时间必须在【8</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30-17:00】内，申购和赎回交易时间必须</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30-17:00】内</w:t>
            </w:r>
            <w:r>
              <w:rPr>
                <w:rFonts w:ascii="楷体_GB2312" w:eastAsia="楷体_GB2312" w:cs="楷体_GB2312"/>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产品的计划募集金额下限为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】元。信银理财</w:t>
            </w:r>
            <w:r>
              <w:rPr>
                <w:rFonts w:ascii="楷体_GB2312" w:eastAsia="楷体_GB2312" w:cs="楷体_GB2312"/>
                <w:color w:val="000000" w:themeColor="text1"/>
                <w:sz w:val="20"/>
                <w:szCs w:val="20"/>
                <w14:textFill>
                  <w14:solidFill>
                    <w14:schemeClr w14:val="tx1"/>
                  </w14:solidFill>
                </w14:textFill>
              </w:rPr>
              <w:t>有权根据实际需要对此金额</w:t>
            </w:r>
            <w:r>
              <w:rPr>
                <w:rFonts w:hint="eastAsia" w:ascii="楷体_GB2312" w:eastAsia="楷体_GB2312" w:cs="楷体_GB2312"/>
                <w:color w:val="000000" w:themeColor="text1"/>
                <w:sz w:val="20"/>
                <w:szCs w:val="20"/>
                <w14:textFill>
                  <w14:solidFill>
                    <w14:schemeClr w14:val="tx1"/>
                  </w14:solidFill>
                </w14:textFill>
              </w:rPr>
              <w:t>下</w:t>
            </w:r>
            <w:r>
              <w:rPr>
                <w:rFonts w:ascii="楷体_GB2312" w:eastAsia="楷体_GB2312" w:cs="楷体_GB2312"/>
                <w:color w:val="000000" w:themeColor="text1"/>
                <w:sz w:val="20"/>
                <w:szCs w:val="20"/>
                <w14:textFill>
                  <w14:solidFill>
                    <w14:schemeClr w14:val="tx1"/>
                  </w14:solidFill>
                </w14:textFill>
              </w:rPr>
              <w:t>限进行调整。</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w:t>
            </w:r>
            <w:r>
              <w:rPr>
                <w:rFonts w:ascii="楷体_GB2312" w:eastAsia="楷体_GB2312" w:cs="楷体_GB2312"/>
                <w:color w:val="000000" w:themeColor="text1"/>
                <w:sz w:val="20"/>
                <w:szCs w:val="20"/>
                <w14:textFill>
                  <w14:solidFill>
                    <w14:schemeClr w14:val="tx1"/>
                  </w14:solidFill>
                </w14:textFill>
              </w:rPr>
              <w:t>2】个工作日内返还投资者资金，同时信银理财保留延长本产品募集期的权利。</w:t>
            </w:r>
            <w:r>
              <w:rPr>
                <w:rFonts w:hint="eastAsia" w:ascii="楷体_GB2312" w:eastAsia="楷体_GB2312" w:cs="楷体_GB2312"/>
                <w:color w:val="000000" w:themeColor="text1"/>
                <w:sz w:val="20"/>
                <w:szCs w:val="20"/>
                <w14:textFill>
                  <w14:solidFill>
                    <w14:schemeClr w14:val="tx1"/>
                  </w14:solidFill>
                </w14:textFill>
              </w:rPr>
              <w:t>届时信银理财将按照本说明书约定的方式告知投资者。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w:t>
            </w:r>
            <w:r>
              <w:rPr>
                <w:rFonts w:ascii="楷体_GB2312" w:eastAsia="楷体_GB2312" w:cs="楷体_GB2312"/>
                <w:color w:val="000000" w:themeColor="text1"/>
                <w:sz w:val="20"/>
                <w:szCs w:val="20"/>
                <w14:textFill>
                  <w14:solidFill>
                    <w14:schemeClr w14:val="tx1"/>
                  </w14:solidFill>
                </w14:textFill>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申购起点</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w:t>
            </w:r>
            <w:r>
              <w:rPr>
                <w:rFonts w:ascii="楷体_GB2312" w:eastAsia="楷体_GB2312" w:cs="楷体_GB2312"/>
                <w:color w:val="000000" w:themeColor="text1"/>
                <w:sz w:val="20"/>
                <w:szCs w:val="20"/>
                <w14:textFill>
                  <w14:solidFill>
                    <w14:schemeClr w14:val="tx1"/>
                  </w14:solidFill>
                </w14:textFill>
              </w:rPr>
              <w:t>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ascii="楷体_GB2312" w:eastAsia="楷体_GB2312" w:cs="楷体_GB2312"/>
                <w:color w:val="000000" w:themeColor="text1"/>
                <w:sz w:val="20"/>
                <w:szCs w:val="20"/>
                <w14:textFill>
                  <w14:solidFill>
                    <w14:schemeClr w14:val="tx1"/>
                  </w14:solidFill>
                </w14:textFill>
              </w:rPr>
              <w:t>】【0.01】元，</w:t>
            </w:r>
            <w:r>
              <w:rPr>
                <w:rFonts w:hint="eastAsia" w:ascii="楷体_GB2312" w:eastAsia="楷体_GB2312" w:cs="楷体_GB2312"/>
                <w:color w:val="000000" w:themeColor="text1"/>
                <w:sz w:val="20"/>
                <w:szCs w:val="20"/>
                <w14:textFill>
                  <w14:solidFill>
                    <w14:schemeClr w14:val="tx1"/>
                  </w14:solidFill>
                </w14:textFill>
              </w:rPr>
              <w:t>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cs="楷体_GB2312"/>
                <w:color w:val="000000" w:themeColor="text1"/>
                <w:sz w:val="20"/>
                <w:szCs w:val="20"/>
                <w14:textFill>
                  <w14:solidFill>
                    <w14:schemeClr w14:val="tx1"/>
                  </w14:solidFill>
                </w14:textFill>
              </w:rPr>
              <w:t>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M</w:t>
            </w:r>
            <w:r>
              <w:rPr>
                <w:rFonts w:ascii="楷体_GB2312" w:eastAsia="楷体_GB2312" w:cs="楷体_GB2312"/>
                <w:color w:val="000000" w:themeColor="text1"/>
                <w:sz w:val="20"/>
                <w:szCs w:val="20"/>
                <w14:textFill>
                  <w14:solidFill>
                    <w14:schemeClr w14:val="tx1"/>
                  </w14:solidFill>
                </w14:textFill>
              </w:rPr>
              <w:t>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ascii="楷体_GB2312" w:eastAsia="楷体_GB2312" w:cs="楷体_GB2312"/>
                <w:color w:val="000000" w:themeColor="text1"/>
                <w:sz w:val="20"/>
                <w:szCs w:val="20"/>
                <w14:textFill>
                  <w14:solidFill>
                    <w14:schemeClr w14:val="tx1"/>
                  </w14:solidFill>
                </w14:textFill>
              </w:rPr>
              <w:t>】【0.01】元，</w:t>
            </w:r>
            <w:r>
              <w:rPr>
                <w:rFonts w:hint="eastAsia" w:ascii="楷体_GB2312" w:eastAsia="楷体_GB2312" w:cs="楷体_GB2312"/>
                <w:color w:val="000000" w:themeColor="text1"/>
                <w:sz w:val="20"/>
                <w:szCs w:val="20"/>
                <w14:textFill>
                  <w14:solidFill>
                    <w14:schemeClr w14:val="tx1"/>
                  </w14:solidFill>
                </w14:textFill>
              </w:rPr>
              <w:t>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cs="楷体_GB2312"/>
                <w:color w:val="000000" w:themeColor="text1"/>
                <w:sz w:val="20"/>
                <w:szCs w:val="20"/>
                <w14:textFill>
                  <w14:solidFill>
                    <w14:schemeClr w14:val="tx1"/>
                  </w14:solidFill>
                </w14:textFill>
              </w:rPr>
              <w:t>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w:t>
            </w:r>
            <w:r>
              <w:rPr>
                <w:rFonts w:ascii="楷体_GB2312" w:eastAsia="楷体_GB2312" w:cs="楷体_GB2312"/>
                <w:color w:val="000000" w:themeColor="text1"/>
                <w:sz w:val="20"/>
                <w:szCs w:val="20"/>
                <w14:textFill>
                  <w14:solidFill>
                    <w14:schemeClr w14:val="tx1"/>
                  </w14:solidFill>
                </w14:textFill>
              </w:rPr>
              <w:t>/申购起点及追加认/申购金额的要求</w:t>
            </w:r>
            <w:r>
              <w:rPr>
                <w:rFonts w:hint="eastAsia" w:ascii="楷体_GB2312" w:eastAsia="楷体_GB2312" w:cs="楷体_GB2312"/>
                <w:color w:val="000000" w:themeColor="text1"/>
                <w:sz w:val="20"/>
                <w:szCs w:val="20"/>
                <w14:textFill>
                  <w14:solidFill>
                    <w14:schemeClr w14:val="tx1"/>
                  </w14:solidFill>
                </w14:textFill>
              </w:rPr>
              <w:t>与信银理财不一致的，以代销机构为准，但不得低于上述对应金额。</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份额限制</w:t>
            </w:r>
          </w:p>
        </w:tc>
        <w:tc>
          <w:tcPr>
            <w:tcW w:w="3873" w:type="pct"/>
            <w:vAlign w:val="center"/>
          </w:tcPr>
          <w:p>
            <w:pPr>
              <w:spacing w:line="300" w:lineRule="exact"/>
              <w:ind w:left="-2" w:leftChars="-1" w:right="36" w:rightChars="15"/>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本产品的单个投资者持有份额是否允许超过本产品总份额的</w:t>
            </w:r>
            <w:r>
              <w:rPr>
                <w:rFonts w:ascii="楷体_GB2312" w:eastAsia="楷体_GB2312" w:cs="楷体_GB2312"/>
                <w:b/>
                <w:color w:val="000000" w:themeColor="text1"/>
                <w:sz w:val="20"/>
                <w:szCs w:val="20"/>
                <w14:textFill>
                  <w14:solidFill>
                    <w14:schemeClr w14:val="tx1"/>
                  </w14:solidFill>
                </w14:textFill>
              </w:rPr>
              <w:t>50%:</w:t>
            </w:r>
            <w:r>
              <w:rPr>
                <w:rFonts w:hint="eastAsia" w:ascii="楷体_GB2312" w:eastAsia="楷体_GB2312" w:cs="楷体_GB2312"/>
                <w:b/>
                <w:color w:val="000000" w:themeColor="text1"/>
                <w:sz w:val="20"/>
                <w:szCs w:val="20"/>
                <w14:textFill>
                  <w14:solidFill>
                    <w14:schemeClr w14:val="tx1"/>
                  </w14:solidFill>
                </w14:textFill>
              </w:rPr>
              <w:t>【2</w:t>
            </w:r>
            <w:r>
              <w:rPr>
                <w:rFonts w:ascii="楷体_GB2312" w:eastAsia="楷体_GB2312" w:cs="楷体_GB2312"/>
                <w:b/>
                <w:color w:val="000000" w:themeColor="text1"/>
                <w:sz w:val="20"/>
                <w:szCs w:val="20"/>
                <w14:textFill>
                  <w14:solidFill>
                    <w14:schemeClr w14:val="tx1"/>
                  </w14:solidFill>
                </w14:textFill>
              </w:rPr>
              <w:t>】</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1.是</w:t>
            </w:r>
            <w:r>
              <w:rPr>
                <w:rFonts w:hint="eastAsia" w:ascii="楷体_GB2312" w:eastAsia="楷体_GB2312" w:cs="楷体_GB2312"/>
                <w:color w:val="000000" w:themeColor="text1"/>
                <w:sz w:val="20"/>
                <w:szCs w:val="20"/>
                <w14:textFill>
                  <w14:solidFill>
                    <w14:schemeClr w14:val="tx1"/>
                  </w14:solidFill>
                </w14:textFill>
              </w:rPr>
              <w:t>。根据《中国银保监会、中国人民银行关于规范现金管理类理财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管理有关事项的通知》，本产品的单个投资者持有份额允许超过本产品总份额的</w:t>
            </w:r>
            <w:r>
              <w:rPr>
                <w:rFonts w:ascii="楷体_GB2312" w:eastAsia="楷体_GB2312" w:cs="楷体_GB2312"/>
                <w:color w:val="000000" w:themeColor="text1"/>
                <w:sz w:val="20"/>
                <w:szCs w:val="20"/>
                <w14:textFill>
                  <w14:solidFill>
                    <w14:schemeClr w14:val="tx1"/>
                  </w14:solidFill>
                </w14:textFill>
              </w:rPr>
              <w:t>50%</w:t>
            </w:r>
            <w:r>
              <w:rPr>
                <w:rFonts w:hint="eastAsia" w:ascii="楷体_GB2312" w:eastAsia="楷体_GB2312" w:cs="楷体_GB2312"/>
                <w:color w:val="000000" w:themeColor="text1"/>
                <w:sz w:val="20"/>
                <w:szCs w:val="20"/>
                <w14:textFill>
                  <w14:solidFill>
                    <w14:schemeClr w14:val="tx1"/>
                  </w14:solidFill>
                </w14:textFill>
              </w:rPr>
              <w:t>的，管理人将对</w:t>
            </w:r>
            <w:r>
              <w:rPr>
                <w:rFonts w:ascii="楷体_GB2312" w:eastAsia="楷体_GB2312" w:cs="楷体_GB2312"/>
                <w:color w:val="000000" w:themeColor="text1"/>
                <w:sz w:val="20"/>
                <w:szCs w:val="20"/>
                <w14:textFill>
                  <w14:solidFill>
                    <w14:schemeClr w14:val="tx1"/>
                  </w14:solidFill>
                </w14:textFill>
              </w:rPr>
              <w:t>本产品采取以下</w:t>
            </w:r>
            <w:r>
              <w:rPr>
                <w:rFonts w:hint="eastAsia" w:ascii="楷体_GB2312" w:eastAsia="楷体_GB2312" w:cs="楷体_GB2312"/>
                <w:color w:val="000000" w:themeColor="text1"/>
                <w:sz w:val="20"/>
                <w:szCs w:val="20"/>
                <w14:textFill>
                  <w14:solidFill>
                    <w14:schemeClr w14:val="tx1"/>
                  </w14:solidFill>
                </w14:textFill>
              </w:rPr>
              <w:t>措施：</w:t>
            </w:r>
          </w:p>
          <w:p>
            <w:pPr>
              <w:pStyle w:val="7"/>
              <w:numPr>
                <w:ilvl w:val="0"/>
                <w:numId w:val="2"/>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不</w:t>
            </w:r>
            <w:r>
              <w:rPr>
                <w:rFonts w:ascii="楷体_GB2312" w:eastAsia="楷体_GB2312" w:cs="楷体_GB2312"/>
                <w:color w:val="000000" w:themeColor="text1"/>
                <w:sz w:val="20"/>
                <w:szCs w:val="20"/>
                <w14:textFill>
                  <w14:solidFill>
                    <w14:schemeClr w14:val="tx1"/>
                  </w14:solidFill>
                </w14:textFill>
              </w:rPr>
              <w:t>向</w:t>
            </w:r>
            <w:r>
              <w:rPr>
                <w:rFonts w:hint="eastAsia" w:ascii="楷体_GB2312" w:eastAsia="楷体_GB2312" w:cs="楷体_GB2312"/>
                <w:color w:val="000000" w:themeColor="text1"/>
                <w:sz w:val="20"/>
                <w:szCs w:val="20"/>
                <w14:textFill>
                  <w14:solidFill>
                    <w14:schemeClr w14:val="tx1"/>
                  </w14:solidFill>
                </w14:textFill>
              </w:rPr>
              <w:t>个人</w:t>
            </w:r>
            <w:r>
              <w:rPr>
                <w:rFonts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color w:val="000000" w:themeColor="text1"/>
                <w:sz w:val="20"/>
                <w:szCs w:val="20"/>
                <w14:textFill>
                  <w14:solidFill>
                    <w14:schemeClr w14:val="tx1"/>
                  </w14:solidFill>
                </w14:textFill>
              </w:rPr>
              <w:t>公开</w:t>
            </w:r>
            <w:r>
              <w:rPr>
                <w:rFonts w:ascii="楷体_GB2312" w:eastAsia="楷体_GB2312" w:cs="楷体_GB2312"/>
                <w:color w:val="000000" w:themeColor="text1"/>
                <w:sz w:val="20"/>
                <w:szCs w:val="20"/>
                <w14:textFill>
                  <w14:solidFill>
                    <w14:schemeClr w14:val="tx1"/>
                  </w14:solidFill>
                </w14:textFill>
              </w:rPr>
              <w:t>发售</w:t>
            </w:r>
            <w:r>
              <w:rPr>
                <w:rFonts w:hint="eastAsia" w:ascii="楷体_GB2312" w:eastAsia="楷体_GB2312" w:cs="楷体_GB2312"/>
                <w:color w:val="000000" w:themeColor="text1"/>
                <w:sz w:val="20"/>
                <w:szCs w:val="20"/>
                <w14:textFill>
                  <w14:solidFill>
                    <w14:schemeClr w14:val="tx1"/>
                  </w14:solidFill>
                </w14:textFill>
              </w:rPr>
              <w:t>。</w:t>
            </w:r>
          </w:p>
          <w:p>
            <w:pPr>
              <w:pStyle w:val="7"/>
              <w:numPr>
                <w:ilvl w:val="0"/>
                <w:numId w:val="2"/>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不采用摊余成本法进行会计核算，或者</w:t>
            </w:r>
            <w:r>
              <w:rPr>
                <w:rFonts w:ascii="楷体_GB2312" w:eastAsia="楷体_GB2312" w:cs="楷体_GB2312"/>
                <w:color w:val="000000" w:themeColor="text1"/>
                <w:sz w:val="20"/>
                <w:szCs w:val="20"/>
                <w14:textFill>
                  <w14:solidFill>
                    <w14:schemeClr w14:val="tx1"/>
                  </w14:solidFill>
                </w14:textFill>
              </w:rPr>
              <w:t>80%以上的资产应当投资于现金、国债、中央银行票据、政策性金融债券以及5个交易日内到期的其他金融工具。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投资者知悉并</w:t>
            </w:r>
            <w:r>
              <w:rPr>
                <w:rFonts w:ascii="楷体_GB2312" w:eastAsia="楷体_GB2312" w:cs="楷体_GB2312"/>
                <w:color w:val="000000" w:themeColor="text1"/>
                <w:sz w:val="20"/>
                <w:szCs w:val="20"/>
                <w14:textFill>
                  <w14:solidFill>
                    <w14:schemeClr w14:val="tx1"/>
                  </w14:solidFill>
                </w14:textFill>
              </w:rPr>
              <w:t>同意</w:t>
            </w:r>
            <w:r>
              <w:rPr>
                <w:rFonts w:hint="eastAsia" w:ascii="楷体_GB2312" w:eastAsia="楷体_GB2312" w:cs="楷体_GB2312"/>
                <w:color w:val="000000" w:themeColor="text1"/>
                <w:sz w:val="20"/>
                <w:szCs w:val="20"/>
                <w14:textFill>
                  <w14:solidFill>
                    <w14:schemeClr w14:val="tx1"/>
                  </w14:solidFill>
                </w14:textFill>
              </w:rPr>
              <w:t>管理人采取上述管理措施。</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2.否。</w:t>
            </w:r>
            <w:r>
              <w:rPr>
                <w:rFonts w:hint="eastAsia" w:ascii="楷体_GB2312" w:eastAsia="楷体_GB2312" w:cs="楷体_GB2312"/>
                <w:color w:val="000000" w:themeColor="text1"/>
                <w:sz w:val="20"/>
                <w:szCs w:val="20"/>
                <w14:textFill>
                  <w14:solidFill>
                    <w14:schemeClr w14:val="tx1"/>
                  </w14:solidFill>
                </w14:textFill>
              </w:rPr>
              <w:t>投资者提出认</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/申购申请时，如认/申购后投资者持有份额超过产品总份额的50%，信银理财有权不接受超过单个投资者持仓份额比例限制的申请。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w:t>
            </w:r>
            <w:r>
              <w:rPr>
                <w:rFonts w:ascii="楷体_GB2312" w:eastAsia="楷体_GB2312" w:cs="楷体_GB2312"/>
                <w:color w:val="000000" w:themeColor="text1"/>
                <w:sz w:val="20"/>
                <w:szCs w:val="20"/>
                <w14:textFill>
                  <w14:solidFill>
                    <w14:schemeClr w14:val="tx1"/>
                  </w14:solidFill>
                </w14:textFill>
              </w:rPr>
              <w:t>类份额</w:t>
            </w:r>
            <w:r>
              <w:rPr>
                <w:rFonts w:hint="eastAsia" w:ascii="楷体_GB2312" w:eastAsia="楷体_GB2312" w:cs="楷体_GB2312"/>
                <w:color w:val="000000" w:themeColor="text1"/>
                <w:sz w:val="20"/>
                <w:szCs w:val="20"/>
                <w14:textFill>
                  <w14:solidFill>
                    <w14:schemeClr w14:val="tx1"/>
                  </w14:solidFill>
                </w14:textFill>
              </w:rPr>
              <w:t>单个投资者持仓份额下限为</w:t>
            </w:r>
            <w:r>
              <w:rPr>
                <w:rFonts w:ascii="楷体_GB2312" w:eastAsia="楷体_GB2312" w:cs="楷体_GB2312"/>
                <w:color w:val="000000" w:themeColor="text1"/>
                <w:sz w:val="20"/>
                <w:szCs w:val="20"/>
                <w14:textFill>
                  <w14:solidFill>
                    <w14:schemeClr w14:val="tx1"/>
                  </w14:solidFill>
                </w14:textFill>
              </w:rPr>
              <w:t>【0.01】</w:t>
            </w:r>
            <w:r>
              <w:rPr>
                <w:rFonts w:hint="eastAsia" w:ascii="楷体_GB2312" w:eastAsia="楷体_GB2312" w:cs="楷体_GB2312"/>
                <w:color w:val="000000" w:themeColor="text1"/>
                <w:sz w:val="20"/>
                <w:szCs w:val="20"/>
                <w14:textFill>
                  <w14:solidFill>
                    <w14:schemeClr w14:val="tx1"/>
                  </w14:solidFill>
                </w14:textFill>
              </w:rPr>
              <w:t>份。投资者提出部分赎回时，如赎回后投资者持有份额不足【0.01</w:t>
            </w:r>
            <w:r>
              <w:rPr>
                <w:rFonts w:ascii="楷体_GB2312" w:eastAsia="楷体_GB2312" w:cs="楷体_GB2312"/>
                <w:color w:val="000000" w:themeColor="text1"/>
                <w:sz w:val="20"/>
                <w:szCs w:val="20"/>
                <w14:textFill>
                  <w14:solidFill>
                    <w14:schemeClr w14:val="tx1"/>
                  </w14:solidFill>
                </w14:textFill>
              </w:rPr>
              <w:t>】份，则</w:t>
            </w:r>
            <w:r>
              <w:rPr>
                <w:rFonts w:hint="eastAsia" w:ascii="楷体_GB2312" w:eastAsia="楷体_GB2312" w:cs="楷体_GB2312"/>
                <w:color w:val="000000" w:themeColor="text1"/>
                <w:sz w:val="20"/>
                <w:szCs w:val="20"/>
                <w14:textFill>
                  <w14:solidFill>
                    <w14:schemeClr w14:val="tx1"/>
                  </w14:solidFill>
                </w14:textFill>
              </w:rPr>
              <w:t>管理人将</w:t>
            </w:r>
            <w:r>
              <w:rPr>
                <w:rFonts w:ascii="楷体_GB2312" w:eastAsia="楷体_GB2312" w:cs="楷体_GB2312"/>
                <w:color w:val="000000" w:themeColor="text1"/>
                <w:sz w:val="20"/>
                <w:szCs w:val="20"/>
                <w14:textFill>
                  <w14:solidFill>
                    <w14:schemeClr w14:val="tx1"/>
                  </w14:solidFill>
                </w14:textFill>
              </w:rPr>
              <w:t>对投资者剩余份额发起强制赎回。</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M</w:t>
            </w:r>
            <w:r>
              <w:rPr>
                <w:rFonts w:ascii="楷体_GB2312" w:eastAsia="楷体_GB2312" w:cs="楷体_GB2312"/>
                <w:color w:val="000000" w:themeColor="text1"/>
                <w:sz w:val="20"/>
                <w:szCs w:val="20"/>
                <w14:textFill>
                  <w14:solidFill>
                    <w14:schemeClr w14:val="tx1"/>
                  </w14:solidFill>
                </w14:textFill>
              </w:rPr>
              <w:t>类份额</w:t>
            </w:r>
            <w:r>
              <w:rPr>
                <w:rFonts w:hint="eastAsia" w:ascii="楷体_GB2312" w:eastAsia="楷体_GB2312" w:cs="楷体_GB2312"/>
                <w:color w:val="000000" w:themeColor="text1"/>
                <w:sz w:val="20"/>
                <w:szCs w:val="20"/>
                <w14:textFill>
                  <w14:solidFill>
                    <w14:schemeClr w14:val="tx1"/>
                  </w14:solidFill>
                </w14:textFill>
              </w:rPr>
              <w:t>单个投资者持仓份额下限为</w:t>
            </w:r>
            <w:r>
              <w:rPr>
                <w:rFonts w:ascii="楷体_GB2312" w:eastAsia="楷体_GB2312" w:cs="楷体_GB2312"/>
                <w:color w:val="000000" w:themeColor="text1"/>
                <w:sz w:val="20"/>
                <w:szCs w:val="20"/>
                <w14:textFill>
                  <w14:solidFill>
                    <w14:schemeClr w14:val="tx1"/>
                  </w14:solidFill>
                </w14:textFill>
              </w:rPr>
              <w:t>【0.01】</w:t>
            </w:r>
            <w:r>
              <w:rPr>
                <w:rFonts w:hint="eastAsia" w:ascii="楷体_GB2312" w:eastAsia="楷体_GB2312" w:cs="楷体_GB2312"/>
                <w:color w:val="000000" w:themeColor="text1"/>
                <w:sz w:val="20"/>
                <w:szCs w:val="20"/>
                <w14:textFill>
                  <w14:solidFill>
                    <w14:schemeClr w14:val="tx1"/>
                  </w14:solidFill>
                </w14:textFill>
              </w:rPr>
              <w:t>份。投资者提出部分赎回时，如赎回后投资者持有份额不足【0.01</w:t>
            </w:r>
            <w:r>
              <w:rPr>
                <w:rFonts w:ascii="楷体_GB2312" w:eastAsia="楷体_GB2312" w:cs="楷体_GB2312"/>
                <w:color w:val="000000" w:themeColor="text1"/>
                <w:sz w:val="20"/>
                <w:szCs w:val="20"/>
                <w14:textFill>
                  <w14:solidFill>
                    <w14:schemeClr w14:val="tx1"/>
                  </w14:solidFill>
                </w14:textFill>
              </w:rPr>
              <w:t>】份，则</w:t>
            </w:r>
            <w:r>
              <w:rPr>
                <w:rFonts w:hint="eastAsia" w:ascii="楷体_GB2312" w:eastAsia="楷体_GB2312" w:cs="楷体_GB2312"/>
                <w:color w:val="000000" w:themeColor="text1"/>
                <w:sz w:val="20"/>
                <w:szCs w:val="20"/>
                <w14:textFill>
                  <w14:solidFill>
                    <w14:schemeClr w14:val="tx1"/>
                  </w14:solidFill>
                </w14:textFill>
              </w:rPr>
              <w:t>管理人将</w:t>
            </w:r>
            <w:r>
              <w:rPr>
                <w:rFonts w:ascii="楷体_GB2312" w:eastAsia="楷体_GB2312" w:cs="楷体_GB2312"/>
                <w:color w:val="000000" w:themeColor="text1"/>
                <w:sz w:val="20"/>
                <w:szCs w:val="20"/>
                <w14:textFill>
                  <w14:solidFill>
                    <w14:schemeClr w14:val="tx1"/>
                  </w14:solidFill>
                </w14:textFill>
              </w:rPr>
              <w:t>对投资者剩余份额发起强制赎回。</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G类份额：单个投资者持仓份额下限为【0.01】份。投资者提出部分赎回时，如赎回后投资者持有份额不足【0.01】份，则管理人将对投资者剩余份额发起强制赎回。</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H类份额：单个投资者持仓份额下限为【0.01】份。投资者提出部分赎回时，如赎回后投资者持有份额不足【0.01】份，则管理人将对投资者剩余份额发起强制赎回。</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L类份额：单个投资者持仓份额下限为【0.01】份。投资者提出部分赎回时，如赎回后投资者持有份额不足【0.01】份，则管理人将对投资者剩余份额发起强制赎回。</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信银理财有权根据实际需要对此份额下限进行调整。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1.单位净值为单位产品份额的净值，该净值为扣除相关税费后的净值。</w:t>
            </w:r>
            <w:r>
              <w:rPr>
                <w:rFonts w:hint="eastAsia" w:ascii="楷体_GB2312" w:eastAsia="楷体_GB2312" w:cs="楷体_GB2312"/>
                <w:color w:val="000000" w:themeColor="text1"/>
                <w:sz w:val="20"/>
                <w:szCs w:val="20"/>
                <w14:textFill>
                  <w14:solidFill>
                    <w14:schemeClr w14:val="tx1"/>
                  </w14:solidFill>
                </w14:textFill>
              </w:rPr>
              <w:t>相关税费包含固定管理费、浮动管理费（如有）、销售服务费、托管费、本理财产品运营过程中产生的增值税及附加税费等。</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pPr>
              <w:spacing w:line="300" w:lineRule="exact"/>
              <w:ind w:right="29" w:rightChars="12"/>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本产品采用</w:t>
            </w:r>
            <w:r>
              <w:rPr>
                <w:rFonts w:ascii="楷体_GB2312" w:eastAsia="楷体_GB2312"/>
                <w:color w:val="000000" w:themeColor="text1"/>
                <w:sz w:val="20"/>
                <w:szCs w:val="20"/>
                <w14:textFill>
                  <w14:solidFill>
                    <w14:schemeClr w14:val="tx1"/>
                  </w14:solidFill>
                </w14:textFill>
              </w:rPr>
              <w:t>1.00元固定份额净值交易方式，自产品运作起始日起每</w:t>
            </w:r>
            <w:r>
              <w:rPr>
                <w:rFonts w:hint="eastAsia" w:ascii="楷体_GB2312" w:eastAsia="楷体_GB2312"/>
                <w:color w:val="000000" w:themeColor="text1"/>
                <w:sz w:val="20"/>
                <w:szCs w:val="20"/>
                <w14:textFill>
                  <w14:solidFill>
                    <w14:schemeClr w14:val="tx1"/>
                  </w14:solidFill>
                </w14:textFill>
              </w:rPr>
              <w:t>个自然日</w:t>
            </w:r>
            <w:r>
              <w:rPr>
                <w:rFonts w:ascii="楷体_GB2312" w:eastAsia="楷体_GB2312"/>
                <w:color w:val="000000" w:themeColor="text1"/>
                <w:sz w:val="20"/>
                <w:szCs w:val="20"/>
                <w14:textFill>
                  <w14:solidFill>
                    <w14:schemeClr w14:val="tx1"/>
                  </w14:solidFill>
                </w14:textFill>
              </w:rPr>
              <w:t>将实现的产品净收益【结转为份额】，以使每</w:t>
            </w:r>
            <w:r>
              <w:rPr>
                <w:rFonts w:hint="eastAsia" w:ascii="楷体_GB2312" w:eastAsia="楷体_GB2312"/>
                <w:color w:val="000000" w:themeColor="text1"/>
                <w:sz w:val="20"/>
                <w:szCs w:val="20"/>
                <w14:textFill>
                  <w14:solidFill>
                    <w14:schemeClr w14:val="tx1"/>
                  </w14:solidFill>
                </w14:textFill>
              </w:rPr>
              <w:t>个自然日</w:t>
            </w:r>
            <w:r>
              <w:rPr>
                <w:rFonts w:ascii="楷体_GB2312" w:eastAsia="楷体_GB2312"/>
                <w:color w:val="000000" w:themeColor="text1"/>
                <w:sz w:val="20"/>
                <w:szCs w:val="20"/>
                <w14:textFill>
                  <w14:solidFill>
                    <w14:schemeClr w14:val="tx1"/>
                  </w14:solidFill>
                </w14:textFill>
              </w:rPr>
              <w:t>的产品份额净值始终保持1.00元。</w:t>
            </w:r>
          </w:p>
          <w:p>
            <w:pPr>
              <w:spacing w:line="300" w:lineRule="exact"/>
              <w:ind w:right="29" w:rightChars="12"/>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楷体_GB2312" w:eastAsia="楷体_GB2312"/>
                <w:sz w:val="20"/>
                <w:szCs w:val="20"/>
              </w:rPr>
              <w:t>每万份理财产品已实现收益</w:t>
            </w:r>
          </w:p>
        </w:tc>
        <w:tc>
          <w:tcPr>
            <w:tcW w:w="3873" w:type="pct"/>
            <w:vAlign w:val="center"/>
          </w:tcPr>
          <w:p>
            <w:pPr>
              <w:spacing w:line="300" w:lineRule="atLeast"/>
              <w:ind w:left="-2" w:right="36"/>
              <w:rPr>
                <w:rFonts w:ascii="楷体_GB2312" w:eastAsia="楷体_GB2312"/>
                <w:sz w:val="20"/>
                <w:szCs w:val="20"/>
              </w:rPr>
            </w:pPr>
            <w:r>
              <w:rPr>
                <w:rFonts w:hint="eastAsia" w:ascii="楷体_GB2312" w:eastAsia="楷体_GB2312"/>
                <w:sz w:val="20"/>
                <w:szCs w:val="20"/>
              </w:rPr>
              <w:t>每万份理财产品已实现收益</w:t>
            </w:r>
            <w:r>
              <w:rPr>
                <w:rFonts w:ascii="楷体_GB2312" w:eastAsia="楷体_GB2312"/>
                <w:sz w:val="20"/>
                <w:szCs w:val="20"/>
              </w:rPr>
              <w:t>=当日理财产品份额已实现收益/当日理财产品份额*10000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sz w:val="20"/>
                <w:szCs w:val="20"/>
              </w:rPr>
              <w:t>精确至小数点后第</w:t>
            </w:r>
            <w:r>
              <w:rPr>
                <w:rFonts w:ascii="楷体_GB2312" w:eastAsia="楷体_GB2312"/>
                <w:sz w:val="20"/>
                <w:szCs w:val="20"/>
              </w:rPr>
              <w:t>4位，小数点后第5位按【四舍五入】原则处理。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ascii="楷体_GB2312" w:eastAsia="楷体_GB2312"/>
                <w:sz w:val="20"/>
                <w:szCs w:val="20"/>
              </w:rPr>
              <w:t>7日年化收益率</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sz w:val="20"/>
                <w:szCs w:val="20"/>
              </w:rPr>
              <w:t>以本产品最近</w:t>
            </w:r>
            <w:r>
              <w:rPr>
                <w:rFonts w:ascii="楷体_GB2312" w:eastAsia="楷体_GB2312"/>
                <w:sz w:val="20"/>
                <w:szCs w:val="20"/>
              </w:rPr>
              <w:t>7日（含节假日）收益率所折算的产品年化收益率。产品成立不满7日时以实际日收益率折算年化收益率。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投资者可通过信银理财直销渠道认购本产品。</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w:t>
            </w:r>
            <w:r>
              <w:rPr>
                <w:rFonts w:ascii="楷体_GB2312" w:eastAsia="楷体_GB2312" w:cs="楷体_GB2312"/>
                <w:color w:val="000000" w:themeColor="text1"/>
                <w:sz w:val="20"/>
                <w:szCs w:val="20"/>
                <w14:textFill>
                  <w14:solidFill>
                    <w14:schemeClr w14:val="tx1"/>
                  </w14:solidFill>
                </w14:textFill>
              </w:rPr>
              <w:t>通过代销机构销售，投资者可通过代销机构规定的渠道</w:t>
            </w:r>
            <w:r>
              <w:rPr>
                <w:rFonts w:hint="eastAsia" w:ascii="楷体_GB2312" w:eastAsia="楷体_GB2312" w:cs="楷体_GB2312"/>
                <w:color w:val="000000" w:themeColor="text1"/>
                <w:sz w:val="20"/>
                <w:szCs w:val="20"/>
                <w14:textFill>
                  <w14:solidFill>
                    <w14:schemeClr w14:val="tx1"/>
                  </w14:solidFill>
                </w14:textFill>
              </w:rPr>
              <w:t>认购本产品。</w:t>
            </w:r>
          </w:p>
          <w:p>
            <w:pPr>
              <w:spacing w:line="300" w:lineRule="exact"/>
              <w:ind w:right="36" w:rightChars="15"/>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可通过</w:t>
            </w:r>
            <w:r>
              <w:rPr>
                <w:rFonts w:hint="eastAsia" w:ascii="楷体_GB2312" w:eastAsia="楷体_GB2312" w:cs="楷体_GB2312"/>
                <w:color w:val="000000" w:themeColor="text1"/>
                <w:sz w:val="20"/>
                <w:szCs w:val="20"/>
                <w14:textFill>
                  <w14:solidFill>
                    <w14:schemeClr w14:val="tx1"/>
                  </w14:solidFill>
                </w14:textFill>
              </w:rPr>
              <w:t>信银理财直销</w:t>
            </w:r>
            <w:r>
              <w:rPr>
                <w:rFonts w:ascii="楷体_GB2312" w:eastAsia="楷体_GB2312" w:cs="楷体_GB2312"/>
                <w:color w:val="000000" w:themeColor="text1"/>
                <w:sz w:val="20"/>
                <w:szCs w:val="20"/>
                <w14:textFill>
                  <w14:solidFill>
                    <w14:schemeClr w14:val="tx1"/>
                  </w14:solidFill>
                </w14:textFill>
              </w:rPr>
              <w:t>渠道申购</w:t>
            </w:r>
            <w:r>
              <w:rPr>
                <w:rFonts w:hint="eastAsia" w:ascii="楷体_GB2312" w:eastAsia="楷体_GB2312" w:cs="楷体_GB2312"/>
                <w:color w:val="000000" w:themeColor="text1"/>
                <w:sz w:val="20"/>
                <w:szCs w:val="20"/>
                <w14:textFill>
                  <w14:solidFill>
                    <w14:schemeClr w14:val="tx1"/>
                  </w14:solidFill>
                </w14:textFill>
              </w:rPr>
              <w:t>及</w:t>
            </w:r>
            <w:r>
              <w:rPr>
                <w:rFonts w:ascii="楷体_GB2312" w:eastAsia="楷体_GB2312" w:cs="楷体_GB2312"/>
                <w:color w:val="000000" w:themeColor="text1"/>
                <w:sz w:val="20"/>
                <w:szCs w:val="20"/>
                <w14:textFill>
                  <w14:solidFill>
                    <w14:schemeClr w14:val="tx1"/>
                  </w14:solidFill>
                </w14:textFill>
              </w:rPr>
              <w:t>赎回本产品。</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w:t>
            </w:r>
            <w:r>
              <w:rPr>
                <w:rFonts w:ascii="楷体_GB2312" w:eastAsia="楷体_GB2312" w:cs="楷体_GB2312"/>
                <w:color w:val="000000" w:themeColor="text1"/>
                <w:sz w:val="20"/>
                <w:szCs w:val="20"/>
                <w14:textFill>
                  <w14:solidFill>
                    <w14:schemeClr w14:val="tx1"/>
                  </w14:solidFill>
                </w14:textFill>
              </w:rPr>
              <w:t>通过代销机构销售，投资者可通过代销机构规定的渠道</w:t>
            </w: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w:t>
            </w:r>
            <w:r>
              <w:rPr>
                <w:rFonts w:hint="eastAsia" w:ascii="楷体_GB2312" w:eastAsia="楷体_GB2312" w:cs="楷体_GB2312"/>
                <w:color w:val="000000" w:themeColor="text1"/>
                <w:sz w:val="20"/>
                <w:szCs w:val="20"/>
                <w14:textFill>
                  <w14:solidFill>
                    <w14:schemeClr w14:val="tx1"/>
                  </w14:solidFill>
                </w14:textFill>
              </w:rPr>
              <w:t>本产品。</w:t>
            </w:r>
          </w:p>
          <w:p>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873" w:type="pct"/>
            <w:vAlign w:val="center"/>
          </w:tcPr>
          <w:p>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本产品的费用包括认购费、申购费</w:t>
            </w:r>
            <w:r>
              <w:rPr>
                <w:rFonts w:ascii="楷体_GB2312" w:eastAsia="楷体_GB2312" w:cs="楷体_GB2312"/>
                <w:b/>
                <w:color w:val="000000" w:themeColor="text1"/>
                <w:sz w:val="20"/>
                <w:szCs w:val="20"/>
                <w14:textFill>
                  <w14:solidFill>
                    <w14:schemeClr w14:val="tx1"/>
                  </w14:solidFill>
                </w14:textFill>
              </w:rPr>
              <w:t>、赎回费、</w:t>
            </w:r>
            <w:r>
              <w:rPr>
                <w:rFonts w:hint="eastAsia" w:ascii="楷体_GB2312" w:eastAsia="楷体_GB2312" w:cs="楷体_GB2312"/>
                <w:b/>
                <w:color w:val="000000" w:themeColor="text1"/>
                <w:sz w:val="20"/>
                <w:szCs w:val="20"/>
                <w14:textFill>
                  <w14:solidFill>
                    <w14:schemeClr w14:val="tx1"/>
                  </w14:solidFill>
                </w14:textFill>
              </w:rPr>
              <w:t>销售服务费、托管费、固定管理费、浮动管理费，产品运作和清算中产生的其他资金汇划费、结算费、交易手续费、注册登记费、信息披露费、账户服务费、审计费、律师费、因投资资产而产生的资产推荐服务费等相关费用，以及按照国家规定可以列入的其他费用，按照实际发生时列支。管理人因管理、运营理财产品发生的税费</w:t>
            </w:r>
            <w:r>
              <w:rPr>
                <w:rFonts w:hint="eastAsia" w:ascii="楷体_GB2312" w:eastAsia="楷体_GB2312"/>
                <w:b/>
                <w:color w:val="000000" w:themeColor="text1"/>
                <w:sz w:val="20"/>
                <w:szCs w:val="20"/>
                <w14:textFill>
                  <w14:solidFill>
                    <w14:schemeClr w14:val="tx1"/>
                  </w14:solidFill>
                </w14:textFill>
              </w:rPr>
              <w:t>（包括但不限于增值税及相应的附加税费等）</w:t>
            </w:r>
            <w:r>
              <w:rPr>
                <w:rFonts w:hint="eastAsia" w:ascii="楷体_GB2312" w:eastAsia="楷体_GB2312" w:cs="楷体_GB2312"/>
                <w:b/>
                <w:color w:val="000000" w:themeColor="text1"/>
                <w:sz w:val="20"/>
                <w:szCs w:val="20"/>
                <w14:textFill>
                  <w14:solidFill>
                    <w14:schemeClr w14:val="tx1"/>
                  </w14:solidFill>
                </w14:textFill>
              </w:rPr>
              <w:t>由产品资产承担。法律</w:t>
            </w:r>
            <w:r>
              <w:rPr>
                <w:rFonts w:ascii="楷体_GB2312" w:eastAsia="楷体_GB2312" w:cs="楷体_GB2312"/>
                <w:b/>
                <w:color w:val="000000" w:themeColor="text1"/>
                <w:sz w:val="20"/>
                <w:szCs w:val="20"/>
                <w14:textFill>
                  <w14:solidFill>
                    <w14:schemeClr w14:val="tx1"/>
                  </w14:solidFill>
                </w14:textFill>
              </w:rPr>
              <w:t>法规另有规定时从其规定。</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w:t>
            </w:r>
            <w:r>
              <w:rPr>
                <w:rFonts w:hint="eastAsia" w:ascii="楷体_GB2312" w:eastAsia="楷体_GB2312" w:cs="楷体_GB2312"/>
                <w:b/>
                <w:color w:val="000000" w:themeColor="text1"/>
                <w:sz w:val="20"/>
                <w:szCs w:val="20"/>
                <w14:textFill>
                  <w14:solidFill>
                    <w14:schemeClr w14:val="tx1"/>
                  </w14:solidFill>
                </w14:textFill>
              </w:rPr>
              <w:t>认购费： B</w:t>
            </w:r>
            <w:r>
              <w:rPr>
                <w:rFonts w:ascii="楷体_GB2312" w:eastAsia="楷体_GB2312" w:cs="楷体_GB2312"/>
                <w:b/>
                <w:color w:val="000000" w:themeColor="text1"/>
                <w:sz w:val="20"/>
                <w:szCs w:val="20"/>
                <w14:textFill>
                  <w14:solidFill>
                    <w14:schemeClr w14:val="tx1"/>
                  </w14:solidFill>
                </w14:textFill>
              </w:rPr>
              <w:t>类份额不收取认购费，</w:t>
            </w:r>
            <w:r>
              <w:rPr>
                <w:rFonts w:hint="eastAsia" w:ascii="楷体_GB2312" w:eastAsia="楷体_GB2312" w:cs="楷体_GB2312"/>
                <w:b/>
                <w:color w:val="000000" w:themeColor="text1"/>
                <w:sz w:val="20"/>
                <w:szCs w:val="20"/>
                <w14:textFill>
                  <w14:solidFill>
                    <w14:schemeClr w14:val="tx1"/>
                  </w14:solidFill>
                </w14:textFill>
              </w:rPr>
              <w:t>M</w:t>
            </w:r>
            <w:r>
              <w:rPr>
                <w:rFonts w:ascii="楷体_GB2312" w:eastAsia="楷体_GB2312" w:cs="楷体_GB2312"/>
                <w:b/>
                <w:color w:val="000000" w:themeColor="text1"/>
                <w:sz w:val="20"/>
                <w:szCs w:val="20"/>
                <w14:textFill>
                  <w14:solidFill>
                    <w14:schemeClr w14:val="tx1"/>
                  </w14:solidFill>
                </w14:textFill>
              </w:rPr>
              <w:t>类份额不收取认购费，G类份额不收取认购费，H类份额不收取认购费，L类份额不收取认购费</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w:t>
            </w:r>
            <w:r>
              <w:rPr>
                <w:rFonts w:hint="eastAsia" w:ascii="楷体_GB2312" w:eastAsia="楷体_GB2312" w:cs="楷体_GB2312"/>
                <w:b/>
                <w:color w:val="000000" w:themeColor="text1"/>
                <w:sz w:val="20"/>
                <w:szCs w:val="20"/>
                <w14:textFill>
                  <w14:solidFill>
                    <w14:schemeClr w14:val="tx1"/>
                  </w14:solidFill>
                </w14:textFill>
              </w:rPr>
              <w:t>申购费： B</w:t>
            </w:r>
            <w:r>
              <w:rPr>
                <w:rFonts w:ascii="楷体_GB2312" w:eastAsia="楷体_GB2312" w:cs="楷体_GB2312"/>
                <w:b/>
                <w:color w:val="000000" w:themeColor="text1"/>
                <w:sz w:val="20"/>
                <w:szCs w:val="20"/>
                <w14:textFill>
                  <w14:solidFill>
                    <w14:schemeClr w14:val="tx1"/>
                  </w14:solidFill>
                </w14:textFill>
              </w:rPr>
              <w:t>类份额不收取申购费，</w:t>
            </w:r>
            <w:r>
              <w:rPr>
                <w:rFonts w:hint="eastAsia" w:ascii="楷体_GB2312" w:eastAsia="楷体_GB2312" w:cs="楷体_GB2312"/>
                <w:b/>
                <w:color w:val="000000" w:themeColor="text1"/>
                <w:sz w:val="20"/>
                <w:szCs w:val="20"/>
                <w14:textFill>
                  <w14:solidFill>
                    <w14:schemeClr w14:val="tx1"/>
                  </w14:solidFill>
                </w14:textFill>
              </w:rPr>
              <w:t>M</w:t>
            </w:r>
            <w:r>
              <w:rPr>
                <w:rFonts w:ascii="楷体_GB2312" w:eastAsia="楷体_GB2312" w:cs="楷体_GB2312"/>
                <w:b/>
                <w:color w:val="000000" w:themeColor="text1"/>
                <w:sz w:val="20"/>
                <w:szCs w:val="20"/>
                <w14:textFill>
                  <w14:solidFill>
                    <w14:schemeClr w14:val="tx1"/>
                  </w14:solidFill>
                </w14:textFill>
              </w:rPr>
              <w:t>类份额不收取申购费，G类份额不收取申购费，H类份额不收取申购费，L类份额不收取申购费。</w:t>
            </w:r>
          </w:p>
          <w:p>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w:t>
            </w:r>
            <w:r>
              <w:rPr>
                <w:rFonts w:hint="eastAsia" w:ascii="楷体_GB2312" w:eastAsia="楷体_GB2312" w:cs="楷体_GB2312"/>
                <w:b/>
                <w:color w:val="000000" w:themeColor="text1"/>
                <w:sz w:val="20"/>
                <w:szCs w:val="20"/>
                <w14:textFill>
                  <w14:solidFill>
                    <w14:schemeClr w14:val="tx1"/>
                  </w14:solidFill>
                </w14:textFill>
              </w:rPr>
              <w:t>.赎回费： B</w:t>
            </w:r>
            <w:r>
              <w:rPr>
                <w:rFonts w:ascii="楷体_GB2312" w:eastAsia="楷体_GB2312" w:cs="楷体_GB2312"/>
                <w:b/>
                <w:color w:val="000000" w:themeColor="text1"/>
                <w:sz w:val="20"/>
                <w:szCs w:val="20"/>
                <w14:textFill>
                  <w14:solidFill>
                    <w14:schemeClr w14:val="tx1"/>
                  </w14:solidFill>
                </w14:textFill>
              </w:rPr>
              <w:t>类份额不收取赎回费，</w:t>
            </w:r>
            <w:r>
              <w:rPr>
                <w:rFonts w:hint="eastAsia" w:ascii="楷体_GB2312" w:eastAsia="楷体_GB2312" w:cs="楷体_GB2312"/>
                <w:b/>
                <w:color w:val="000000" w:themeColor="text1"/>
                <w:sz w:val="20"/>
                <w:szCs w:val="20"/>
                <w14:textFill>
                  <w14:solidFill>
                    <w14:schemeClr w14:val="tx1"/>
                  </w14:solidFill>
                </w14:textFill>
              </w:rPr>
              <w:t>M</w:t>
            </w:r>
            <w:r>
              <w:rPr>
                <w:rFonts w:ascii="楷体_GB2312" w:eastAsia="楷体_GB2312" w:cs="楷体_GB2312"/>
                <w:b/>
                <w:color w:val="000000" w:themeColor="text1"/>
                <w:sz w:val="20"/>
                <w:szCs w:val="20"/>
                <w14:textFill>
                  <w14:solidFill>
                    <w14:schemeClr w14:val="tx1"/>
                  </w14:solidFill>
                </w14:textFill>
              </w:rPr>
              <w:t>类份额不收取赎回费，G类份额不收取赎回费，H类份额不收取赎回费，L类份额不收取赎回费。</w:t>
            </w:r>
          </w:p>
          <w:p>
            <w:pPr>
              <w:snapToGrid w:val="0"/>
              <w:spacing w:line="300" w:lineRule="exact"/>
              <w:ind w:right="96" w:rightChars="4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w:t>
            </w:r>
            <w:r>
              <w:rPr>
                <w:rFonts w:hint="eastAsia" w:ascii="楷体_GB2312" w:eastAsia="楷体_GB2312" w:cs="楷体_GB2312"/>
                <w:b/>
                <w:color w:val="000000" w:themeColor="text1"/>
                <w:sz w:val="20"/>
                <w:szCs w:val="20"/>
                <w14:textFill>
                  <w14:solidFill>
                    <w14:schemeClr w14:val="tx1"/>
                  </w14:solidFill>
                </w14:textFill>
              </w:rPr>
              <w:t>.销售服务费： B</w:t>
            </w:r>
            <w:r>
              <w:rPr>
                <w:rFonts w:ascii="楷体_GB2312" w:eastAsia="楷体_GB2312" w:cs="楷体_GB2312"/>
                <w:b/>
                <w:color w:val="000000" w:themeColor="text1"/>
                <w:sz w:val="20"/>
                <w:szCs w:val="20"/>
                <w14:textFill>
                  <w14:solidFill>
                    <w14:schemeClr w14:val="tx1"/>
                  </w14:solidFill>
                </w14:textFill>
              </w:rPr>
              <w:t>类份额费率【0.</w:t>
            </w:r>
            <w:r>
              <w:rPr>
                <w:rFonts w:hint="eastAsia" w:ascii="楷体_GB2312" w:eastAsia="楷体_GB2312" w:cs="楷体_GB2312"/>
                <w:b/>
                <w:color w:val="000000" w:themeColor="text1"/>
                <w:sz w:val="20"/>
                <w:szCs w:val="20"/>
                <w14:textFill>
                  <w14:solidFill>
                    <w14:schemeClr w14:val="tx1"/>
                  </w14:solidFill>
                </w14:textFill>
              </w:rPr>
              <w:t>30</w:t>
            </w:r>
            <w:r>
              <w:rPr>
                <w:rFonts w:ascii="楷体_GB2312" w:eastAsia="楷体_GB2312" w:cs="楷体_GB2312"/>
                <w:b/>
                <w:color w:val="000000" w:themeColor="text1"/>
                <w:sz w:val="20"/>
                <w:szCs w:val="20"/>
                <w14:textFill>
                  <w14:solidFill>
                    <w14:schemeClr w14:val="tx1"/>
                  </w14:solidFill>
                </w14:textFill>
              </w:rPr>
              <w:t>%】/年，</w:t>
            </w:r>
            <w:r>
              <w:rPr>
                <w:rFonts w:hint="eastAsia" w:ascii="楷体_GB2312" w:eastAsia="楷体_GB2312" w:cs="楷体_GB2312"/>
                <w:b/>
                <w:color w:val="000000" w:themeColor="text1"/>
                <w:sz w:val="20"/>
                <w:szCs w:val="20"/>
                <w14:textFill>
                  <w14:solidFill>
                    <w14:schemeClr w14:val="tx1"/>
                  </w14:solidFill>
                </w14:textFill>
              </w:rPr>
              <w:t>M</w:t>
            </w:r>
            <w:r>
              <w:rPr>
                <w:rFonts w:ascii="楷体_GB2312" w:eastAsia="楷体_GB2312" w:cs="楷体_GB2312"/>
                <w:b/>
                <w:color w:val="000000" w:themeColor="text1"/>
                <w:sz w:val="20"/>
                <w:szCs w:val="20"/>
                <w14:textFill>
                  <w14:solidFill>
                    <w14:schemeClr w14:val="tx1"/>
                  </w14:solidFill>
                </w14:textFill>
              </w:rPr>
              <w:t>类份额费率【0.</w:t>
            </w:r>
            <w:r>
              <w:rPr>
                <w:rFonts w:hint="eastAsia" w:ascii="楷体_GB2312" w:eastAsia="楷体_GB2312" w:cs="楷体_GB2312"/>
                <w:b/>
                <w:color w:val="000000" w:themeColor="text1"/>
                <w:sz w:val="20"/>
                <w:szCs w:val="20"/>
                <w14:textFill>
                  <w14:solidFill>
                    <w14:schemeClr w14:val="tx1"/>
                  </w14:solidFill>
                </w14:textFill>
              </w:rPr>
              <w:t>30</w:t>
            </w:r>
            <w:r>
              <w:rPr>
                <w:rFonts w:ascii="楷体_GB2312" w:eastAsia="楷体_GB2312" w:cs="楷体_GB2312"/>
                <w:b/>
                <w:color w:val="000000" w:themeColor="text1"/>
                <w:sz w:val="20"/>
                <w:szCs w:val="20"/>
                <w14:textFill>
                  <w14:solidFill>
                    <w14:schemeClr w14:val="tx1"/>
                  </w14:solidFill>
                </w14:textFill>
              </w:rPr>
              <w:t>%】/年，G类份额费率【0.</w:t>
            </w:r>
            <w:r>
              <w:rPr>
                <w:rFonts w:hint="eastAsia" w:ascii="楷体_GB2312" w:eastAsia="楷体_GB2312" w:cs="楷体_GB2312"/>
                <w:b/>
                <w:color w:val="000000" w:themeColor="text1"/>
                <w:sz w:val="20"/>
                <w:szCs w:val="20"/>
                <w14:textFill>
                  <w14:solidFill>
                    <w14:schemeClr w14:val="tx1"/>
                  </w14:solidFill>
                </w14:textFill>
              </w:rPr>
              <w:t>30</w:t>
            </w:r>
            <w:r>
              <w:rPr>
                <w:rFonts w:ascii="楷体_GB2312" w:eastAsia="楷体_GB2312" w:cs="楷体_GB2312"/>
                <w:b/>
                <w:color w:val="000000" w:themeColor="text1"/>
                <w:sz w:val="20"/>
                <w:szCs w:val="20"/>
                <w14:textFill>
                  <w14:solidFill>
                    <w14:schemeClr w14:val="tx1"/>
                  </w14:solidFill>
                </w14:textFill>
              </w:rPr>
              <w:t>%】/年，H类份额费率【0.</w:t>
            </w:r>
            <w:r>
              <w:rPr>
                <w:rFonts w:hint="eastAsia" w:ascii="楷体_GB2312" w:eastAsia="楷体_GB2312" w:cs="楷体_GB2312"/>
                <w:b/>
                <w:color w:val="000000" w:themeColor="text1"/>
                <w:sz w:val="20"/>
                <w:szCs w:val="20"/>
                <w14:textFill>
                  <w14:solidFill>
                    <w14:schemeClr w14:val="tx1"/>
                  </w14:solidFill>
                </w14:textFill>
              </w:rPr>
              <w:t>30</w:t>
            </w:r>
            <w:r>
              <w:rPr>
                <w:rFonts w:ascii="楷体_GB2312" w:eastAsia="楷体_GB2312" w:cs="楷体_GB2312"/>
                <w:b/>
                <w:color w:val="000000" w:themeColor="text1"/>
                <w:sz w:val="20"/>
                <w:szCs w:val="20"/>
                <w14:textFill>
                  <w14:solidFill>
                    <w14:schemeClr w14:val="tx1"/>
                  </w14:solidFill>
                </w14:textFill>
              </w:rPr>
              <w:t>%】/年，L类份额费率【0.</w:t>
            </w:r>
            <w:r>
              <w:rPr>
                <w:rFonts w:hint="eastAsia" w:ascii="楷体_GB2312" w:eastAsia="楷体_GB2312" w:cs="楷体_GB2312"/>
                <w:b/>
                <w:color w:val="000000" w:themeColor="text1"/>
                <w:sz w:val="20"/>
                <w:szCs w:val="20"/>
                <w14:textFill>
                  <w14:solidFill>
                    <w14:schemeClr w14:val="tx1"/>
                  </w14:solidFill>
                </w14:textFill>
              </w:rPr>
              <w:t>30</w:t>
            </w:r>
            <w:r>
              <w:rPr>
                <w:rFonts w:ascii="楷体_GB2312" w:eastAsia="楷体_GB2312" w:cs="楷体_GB2312"/>
                <w:b/>
                <w:color w:val="000000" w:themeColor="text1"/>
                <w:sz w:val="20"/>
                <w:szCs w:val="20"/>
                <w14:textFill>
                  <w14:solidFill>
                    <w14:schemeClr w14:val="tx1"/>
                  </w14:solidFill>
                </w14:textFill>
              </w:rPr>
              <w:t>%】/年。</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w:t>
            </w:r>
            <w:r>
              <w:rPr>
                <w:rFonts w:hint="eastAsia" w:ascii="楷体_GB2312" w:eastAsia="楷体_GB2312" w:cs="楷体_GB2312"/>
                <w:b/>
                <w:color w:val="000000" w:themeColor="text1"/>
                <w:sz w:val="20"/>
                <w:szCs w:val="20"/>
                <w14:textFill>
                  <w14:solidFill>
                    <w14:schemeClr w14:val="tx1"/>
                  </w14:solidFill>
                </w14:textFill>
              </w:rPr>
              <w:t>.托管费：费率</w:t>
            </w:r>
            <w:r>
              <w:rPr>
                <w:rFonts w:ascii="楷体_GB2312" w:eastAsia="楷体_GB2312" w:cs="楷体_GB2312"/>
                <w:b/>
                <w:color w:val="000000" w:themeColor="text1"/>
                <w:sz w:val="20"/>
                <w:szCs w:val="20"/>
                <w14:textFill>
                  <w14:solidFill>
                    <w14:schemeClr w14:val="tx1"/>
                  </w14:solidFill>
                </w14:textFill>
              </w:rPr>
              <w:t>【0.0</w:t>
            </w:r>
            <w:r>
              <w:rPr>
                <w:rFonts w:hint="eastAsia" w:ascii="楷体_GB2312" w:eastAsia="楷体_GB2312" w:cs="楷体_GB2312"/>
                <w:b/>
                <w:color w:val="000000" w:themeColor="text1"/>
                <w:sz w:val="20"/>
                <w:szCs w:val="20"/>
                <w14:textFill>
                  <w14:solidFill>
                    <w14:schemeClr w14:val="tx1"/>
                  </w14:solidFill>
                </w14:textFill>
              </w:rPr>
              <w:t>5</w:t>
            </w:r>
            <w:r>
              <w:rPr>
                <w:rFonts w:ascii="楷体_GB2312" w:eastAsia="楷体_GB2312" w:cs="楷体_GB2312"/>
                <w:b/>
                <w:color w:val="000000" w:themeColor="text1"/>
                <w:sz w:val="20"/>
                <w:szCs w:val="20"/>
                <w14:textFill>
                  <w14:solidFill>
                    <w14:schemeClr w14:val="tx1"/>
                  </w14:solidFill>
                </w14:textFill>
              </w:rPr>
              <w:t xml:space="preserve">%】/年。 </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w:t>
            </w:r>
            <w:r>
              <w:rPr>
                <w:rFonts w:hint="eastAsia" w:ascii="楷体_GB2312" w:eastAsia="楷体_GB2312" w:cs="楷体_GB2312"/>
                <w:b/>
                <w:color w:val="000000" w:themeColor="text1"/>
                <w:sz w:val="20"/>
                <w:szCs w:val="20"/>
                <w14:textFill>
                  <w14:solidFill>
                    <w14:schemeClr w14:val="tx1"/>
                  </w14:solidFill>
                </w14:textFill>
              </w:rPr>
              <w:t>固定管理费：费率【0.30%】</w:t>
            </w:r>
            <w:r>
              <w:rPr>
                <w:rFonts w:ascii="楷体_GB2312" w:eastAsia="楷体_GB2312" w:cs="楷体_GB2312"/>
                <w:b/>
                <w:color w:val="000000" w:themeColor="text1"/>
                <w:sz w:val="20"/>
                <w:szCs w:val="20"/>
                <w14:textFill>
                  <w14:solidFill>
                    <w14:schemeClr w14:val="tx1"/>
                  </w14:solidFill>
                </w14:textFill>
              </w:rPr>
              <w:t>/年。</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w:t>
            </w:r>
            <w:r>
              <w:rPr>
                <w:rFonts w:hint="eastAsia" w:ascii="楷体_GB2312" w:eastAsia="楷体_GB2312" w:cs="楷体_GB2312"/>
                <w:b/>
                <w:color w:val="000000" w:themeColor="text1"/>
                <w:sz w:val="20"/>
                <w:szCs w:val="20"/>
                <w14:textFill>
                  <w14:solidFill>
                    <w14:schemeClr w14:val="tx1"/>
                  </w14:solidFill>
                </w14:textFill>
              </w:rPr>
              <w:t>浮动管理费：</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B</w:t>
            </w:r>
            <w:r>
              <w:rPr>
                <w:rFonts w:ascii="楷体_GB2312" w:eastAsia="楷体_GB2312" w:cs="楷体_GB2312"/>
                <w:b/>
                <w:color w:val="000000" w:themeColor="text1"/>
                <w:sz w:val="20"/>
                <w:szCs w:val="20"/>
                <w14:textFill>
                  <w14:solidFill>
                    <w14:schemeClr w14:val="tx1"/>
                  </w14:solidFill>
                </w14:textFill>
              </w:rPr>
              <w:t>类份额不收取浮动管理费</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M</w:t>
            </w:r>
            <w:r>
              <w:rPr>
                <w:rFonts w:ascii="楷体_GB2312" w:eastAsia="楷体_GB2312" w:cs="楷体_GB2312"/>
                <w:b/>
                <w:color w:val="000000" w:themeColor="text1"/>
                <w:sz w:val="20"/>
                <w:szCs w:val="20"/>
                <w14:textFill>
                  <w14:solidFill>
                    <w14:schemeClr w14:val="tx1"/>
                  </w14:solidFill>
                </w14:textFill>
              </w:rPr>
              <w:t>类份额不收取浮动管理费</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G类份额不收取浮动管理费</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H类份额不收取浮动管理费</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L类份额不收取浮动管理费</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p>
          <w:p>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具体</w:t>
            </w:r>
            <w:r>
              <w:rPr>
                <w:rFonts w:ascii="楷体_GB2312" w:eastAsia="楷体_GB2312" w:cs="楷体_GB2312"/>
                <w:b/>
                <w:color w:val="000000" w:themeColor="text1"/>
                <w:sz w:val="20"/>
                <w:szCs w:val="20"/>
                <w14:textFill>
                  <w14:solidFill>
                    <w14:schemeClr w14:val="tx1"/>
                  </w14:solidFill>
                </w14:textFill>
              </w:rPr>
              <w:t>请参</w:t>
            </w:r>
            <w:r>
              <w:rPr>
                <w:rFonts w:hint="eastAsia" w:ascii="楷体_GB2312" w:eastAsia="楷体_GB2312" w:cs="楷体_GB2312"/>
                <w:b/>
                <w:color w:val="000000" w:themeColor="text1"/>
                <w:sz w:val="20"/>
                <w:szCs w:val="20"/>
                <w14:textFill>
                  <w14:solidFill>
                    <w14:schemeClr w14:val="tx1"/>
                  </w14:solidFill>
                </w14:textFill>
              </w:rPr>
              <w:t>见本说明书</w:t>
            </w:r>
            <w:r>
              <w:rPr>
                <w:rFonts w:ascii="楷体_GB2312" w:eastAsia="楷体_GB2312" w:cs="楷体_GB2312"/>
                <w:b/>
                <w:color w:val="000000" w:themeColor="text1"/>
                <w:sz w:val="20"/>
                <w:szCs w:val="20"/>
                <w14:textFill>
                  <w14:solidFill>
                    <w14:schemeClr w14:val="tx1"/>
                  </w14:solidFill>
                </w14:textFill>
              </w:rPr>
              <w:t>“</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本产品可能同时在其他渠道销售，本产品收取的销售服务费可能因销售机构不同有所差异，从而导致测算的业绩比较基准有所差异，请投资者关注管理人及销售机构的相关信息披露。</w:t>
            </w:r>
          </w:p>
          <w:p>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投资者</w:t>
            </w:r>
            <w:r>
              <w:rPr>
                <w:rFonts w:ascii="楷体_GB2312" w:eastAsia="楷体_GB2312" w:cs="楷体_GB2312"/>
                <w:b/>
                <w:color w:val="000000" w:themeColor="text1"/>
                <w:sz w:val="20"/>
                <w:szCs w:val="20"/>
                <w14:textFill>
                  <w14:solidFill>
                    <w14:schemeClr w14:val="tx1"/>
                  </w14:solidFill>
                </w14:textFill>
              </w:rPr>
              <w:t>通过代销机构购买理财产品的，</w:t>
            </w:r>
            <w:r>
              <w:rPr>
                <w:rFonts w:hint="eastAsia" w:ascii="楷体_GB2312" w:eastAsia="楷体_GB2312" w:cs="楷体_GB2312"/>
                <w:b/>
                <w:color w:val="000000" w:themeColor="text1"/>
                <w:sz w:val="20"/>
                <w:szCs w:val="20"/>
                <w14:textFill>
                  <w14:solidFill>
                    <w14:schemeClr w14:val="tx1"/>
                  </w14:solidFill>
                </w14:textFill>
              </w:rPr>
              <w:t>代销机构收取的</w:t>
            </w:r>
            <w:r>
              <w:rPr>
                <w:rFonts w:ascii="楷体_GB2312" w:eastAsia="楷体_GB2312" w:cs="楷体_GB2312"/>
                <w:b/>
                <w:color w:val="000000" w:themeColor="text1"/>
                <w:sz w:val="20"/>
                <w:szCs w:val="20"/>
                <w14:textFill>
                  <w14:solidFill>
                    <w14:schemeClr w14:val="tx1"/>
                  </w14:solidFill>
                </w14:textFill>
              </w:rPr>
              <w:t>销售相关费用</w:t>
            </w:r>
            <w:r>
              <w:rPr>
                <w:rFonts w:hint="eastAsia" w:ascii="楷体_GB2312" w:eastAsia="楷体_GB2312" w:cs="楷体_GB2312"/>
                <w:b/>
                <w:color w:val="000000" w:themeColor="text1"/>
                <w:sz w:val="20"/>
                <w:szCs w:val="20"/>
                <w14:textFill>
                  <w14:solidFill>
                    <w14:schemeClr w14:val="tx1"/>
                  </w14:solidFill>
                </w14:textFill>
              </w:rPr>
              <w:t>（如有</w:t>
            </w:r>
            <w:r>
              <w:rPr>
                <w:rFonts w:ascii="楷体_GB2312" w:eastAsia="楷体_GB2312" w:cs="楷体_GB2312"/>
                <w:b/>
                <w:color w:val="000000" w:themeColor="text1"/>
                <w:sz w:val="20"/>
                <w:szCs w:val="20"/>
                <w14:textFill>
                  <w14:solidFill>
                    <w14:schemeClr w14:val="tx1"/>
                  </w14:solidFill>
                </w14:textFill>
              </w:rPr>
              <w:t>）以代销机构</w:t>
            </w:r>
            <w:r>
              <w:rPr>
                <w:rFonts w:hint="eastAsia" w:ascii="楷体_GB2312" w:eastAsia="楷体_GB2312" w:cs="楷体_GB2312"/>
                <w:b/>
                <w:color w:val="000000" w:themeColor="text1"/>
                <w:sz w:val="20"/>
                <w:szCs w:val="20"/>
                <w14:textFill>
                  <w14:solidFill>
                    <w14:schemeClr w14:val="tx1"/>
                  </w14:solidFill>
                </w14:textFill>
              </w:rPr>
              <w:t>规定</w:t>
            </w:r>
            <w:r>
              <w:rPr>
                <w:rFonts w:ascii="楷体_GB2312" w:eastAsia="楷体_GB2312" w:cs="楷体_GB2312"/>
                <w:b/>
                <w:color w:val="000000" w:themeColor="text1"/>
                <w:sz w:val="20"/>
                <w:szCs w:val="20"/>
                <w14:textFill>
                  <w14:solidFill>
                    <w14:schemeClr w14:val="tx1"/>
                  </w14:solidFill>
                </w14:textFill>
              </w:rPr>
              <w:t>为准</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但不得超过上述费用标准。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873" w:type="pct"/>
            <w:vAlign w:val="center"/>
          </w:tcPr>
          <w:p>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873" w:type="pct"/>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B类份额（</w:t>
            </w:r>
            <w:r>
              <w:rPr>
                <w:rFonts w:ascii="楷体_GB2312" w:eastAsia="楷体_GB2312" w:cs="楷体_GB2312"/>
                <w:sz w:val="20"/>
                <w:szCs w:val="20"/>
              </w:rPr>
              <w:t>份额代码【</w:t>
            </w:r>
            <w:r>
              <w:rPr>
                <w:rFonts w:hint="eastAsia" w:ascii="楷体_GB2312" w:eastAsia="楷体_GB2312" w:cs="楷体_GB2312"/>
                <w:sz w:val="20"/>
                <w:szCs w:val="20"/>
              </w:rPr>
              <w:t>AM244179B</w:t>
            </w:r>
            <w:r>
              <w:rPr>
                <w:rFonts w:ascii="楷体_GB2312" w:eastAsia="楷体_GB2312" w:cs="楷体_GB2312"/>
                <w:sz w:val="20"/>
                <w:szCs w:val="20"/>
              </w:rPr>
              <w:t>】</w:t>
            </w:r>
            <w:r>
              <w:rPr>
                <w:rFonts w:hint="eastAsia" w:ascii="楷体_GB2312" w:eastAsia="楷体_GB2312" w:cs="楷体_GB2312"/>
                <w:sz w:val="20"/>
                <w:szCs w:val="20"/>
              </w:rPr>
              <w:t>）</w:t>
            </w:r>
            <w:r>
              <w:rPr>
                <w:rFonts w:ascii="楷体_GB2312" w:eastAsia="楷体_GB2312" w:cs="楷体_GB2312"/>
                <w:sz w:val="20"/>
                <w:szCs w:val="20"/>
              </w:rPr>
              <w:t>合作销售机构信息：</w:t>
            </w:r>
          </w:p>
          <w:p>
            <w:pPr>
              <w:spacing w:line="300" w:lineRule="atLeast"/>
              <w:ind w:right="31"/>
              <w:rPr>
                <w:rFonts w:ascii="楷体_GB2312" w:eastAsia="楷体_GB2312" w:cs="楷体_GB2312"/>
                <w:sz w:val="20"/>
                <w:szCs w:val="20"/>
              </w:rPr>
            </w:pPr>
            <w:r>
              <w:rPr>
                <w:rFonts w:ascii="楷体_GB2312" w:eastAsia="楷体_GB2312" w:cs="楷体_GB2312"/>
                <w:sz w:val="20"/>
                <w:szCs w:val="20"/>
              </w:rPr>
              <w:t>1.企业名称：【信银理财有限责任公司】</w:t>
            </w: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2.企业名称：【招商银行股份有限公司】（销售代码：ZX030129）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9144030010001686XA】</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住所：【广东省深圳市福田区深南大道</w:t>
            </w:r>
            <w:r>
              <w:rPr>
                <w:rFonts w:ascii="楷体_GB2312" w:eastAsia="楷体_GB2312" w:cs="楷体_GB2312"/>
                <w:color w:val="000000" w:themeColor="text1"/>
                <w:sz w:val="20"/>
                <w:szCs w:val="20"/>
                <w14:textFill>
                  <w14:solidFill>
                    <w14:schemeClr w14:val="tx1"/>
                  </w14:solidFill>
                </w14:textFill>
              </w:rPr>
              <w:t>7088号】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95555】</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M类份额（</w:t>
            </w:r>
            <w:r>
              <w:rPr>
                <w:rFonts w:ascii="楷体_GB2312" w:eastAsia="楷体_GB2312" w:cs="楷体_GB2312"/>
                <w:sz w:val="20"/>
                <w:szCs w:val="20"/>
              </w:rPr>
              <w:t>份额代码【</w:t>
            </w:r>
            <w:r>
              <w:rPr>
                <w:rFonts w:hint="eastAsia" w:ascii="楷体_GB2312" w:eastAsia="楷体_GB2312" w:cs="楷体_GB2312"/>
                <w:sz w:val="20"/>
                <w:szCs w:val="20"/>
              </w:rPr>
              <w:t>AM244179M</w:t>
            </w:r>
            <w:r>
              <w:rPr>
                <w:rFonts w:ascii="楷体_GB2312" w:eastAsia="楷体_GB2312" w:cs="楷体_GB2312"/>
                <w:sz w:val="20"/>
                <w:szCs w:val="20"/>
              </w:rPr>
              <w:t>】</w:t>
            </w:r>
            <w:r>
              <w:rPr>
                <w:rFonts w:hint="eastAsia" w:ascii="楷体_GB2312" w:eastAsia="楷体_GB2312" w:cs="楷体_GB2312"/>
                <w:sz w:val="20"/>
                <w:szCs w:val="20"/>
              </w:rPr>
              <w:t>）</w:t>
            </w:r>
            <w:r>
              <w:rPr>
                <w:rFonts w:ascii="楷体_GB2312" w:eastAsia="楷体_GB2312" w:cs="楷体_GB2312"/>
                <w:sz w:val="20"/>
                <w:szCs w:val="20"/>
              </w:rPr>
              <w:t>合作销售机构信息：</w:t>
            </w:r>
          </w:p>
          <w:p>
            <w:pPr>
              <w:spacing w:line="300" w:lineRule="atLeast"/>
              <w:ind w:right="31"/>
              <w:rPr>
                <w:rFonts w:ascii="楷体_GB2312" w:eastAsia="楷体_GB2312" w:cs="楷体_GB2312"/>
                <w:sz w:val="20"/>
                <w:szCs w:val="20"/>
              </w:rPr>
            </w:pPr>
            <w:r>
              <w:rPr>
                <w:rFonts w:ascii="楷体_GB2312" w:eastAsia="楷体_GB2312" w:cs="楷体_GB2312"/>
                <w:sz w:val="20"/>
                <w:szCs w:val="20"/>
              </w:rPr>
              <w:t>1.企业名称：【信银理财有限责任公司】</w:t>
            </w: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.企业名称：【招商银行股份有限公司】（销售代码：ZX100012）</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9144030010001686XA】</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住所：【广东省深圳市福田区深南大道</w:t>
            </w:r>
            <w:r>
              <w:rPr>
                <w:rFonts w:ascii="楷体_GB2312" w:eastAsia="楷体_GB2312" w:cs="楷体_GB2312"/>
                <w:color w:val="000000" w:themeColor="text1"/>
                <w:sz w:val="20"/>
                <w:szCs w:val="20"/>
                <w14:textFill>
                  <w14:solidFill>
                    <w14:schemeClr w14:val="tx1"/>
                  </w14:solidFill>
                </w14:textFill>
              </w:rPr>
              <w:t>7088号】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95555】</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G类份额（份额代码【AM244179G】）合作销售机构信息：</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2.企业名称：【平安银行股份有限公司】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91440300192185379H】</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住所：【深圳市罗湖区深南东路</w:t>
            </w:r>
            <w:r>
              <w:rPr>
                <w:rFonts w:ascii="楷体_GB2312" w:eastAsia="楷体_GB2312" w:cs="楷体_GB2312"/>
                <w:color w:val="000000" w:themeColor="text1"/>
                <w:sz w:val="20"/>
                <w:szCs w:val="20"/>
                <w14:textFill>
                  <w14:solidFill>
                    <w14:schemeClr w14:val="tx1"/>
                  </w14:solidFill>
                </w14:textFill>
              </w:rPr>
              <w:t>5047号】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95511】</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H类份额（份额代码【AM244179H】）合作销售机构信息：</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1.企业名称：【福建福州农村商业银行股份有限公司】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913501005673429096】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住所：【福建省福州市台江区曙光支路</w:t>
            </w:r>
            <w:r>
              <w:rPr>
                <w:rFonts w:ascii="楷体_GB2312" w:eastAsia="楷体_GB2312" w:cs="楷体_GB2312"/>
                <w:color w:val="000000" w:themeColor="text1"/>
                <w:sz w:val="20"/>
                <w:szCs w:val="20"/>
                <w14:textFill>
                  <w14:solidFill>
                    <w14:schemeClr w14:val="tx1"/>
                  </w14:solidFill>
                </w14:textFill>
              </w:rPr>
              <w:t>128号】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2.企业名称：【福建安溪农村商业银行股份有限公司】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91350500MA34BAAU2E】</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住所：【福建省泉州市安溪县建安大道</w:t>
            </w:r>
            <w:r>
              <w:rPr>
                <w:rFonts w:ascii="楷体_GB2312" w:eastAsia="楷体_GB2312" w:cs="楷体_GB2312"/>
                <w:color w:val="000000" w:themeColor="text1"/>
                <w:sz w:val="20"/>
                <w:szCs w:val="20"/>
                <w14:textFill>
                  <w14:solidFill>
                    <w14:schemeClr w14:val="tx1"/>
                  </w14:solidFill>
                </w14:textFill>
              </w:rPr>
              <w:t>230号】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3.企业名称：【惠安县农村信用合作联社】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9135052126002712XA】</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住所：【福建省泉州市惠安县螺城镇建设南街</w:t>
            </w:r>
            <w:r>
              <w:rPr>
                <w:rFonts w:ascii="楷体_GB2312" w:eastAsia="楷体_GB2312" w:cs="楷体_GB2312"/>
                <w:color w:val="000000" w:themeColor="text1"/>
                <w:sz w:val="20"/>
                <w:szCs w:val="20"/>
                <w14:textFill>
                  <w14:solidFill>
                    <w14:schemeClr w14:val="tx1"/>
                  </w14:solidFill>
                </w14:textFill>
              </w:rPr>
              <w:t>555号】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4.企业名称：【福建宁德农村商业银行股份有限公司】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91350900705375806B】</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住所：【福建省宁德市蕉城区万安西路</w:t>
            </w:r>
            <w:r>
              <w:rPr>
                <w:rFonts w:ascii="楷体_GB2312" w:eastAsia="楷体_GB2312" w:cs="楷体_GB2312"/>
                <w:color w:val="000000" w:themeColor="text1"/>
                <w:sz w:val="20"/>
                <w:szCs w:val="20"/>
                <w14:textFill>
                  <w14:solidFill>
                    <w14:schemeClr w14:val="tx1"/>
                  </w14:solidFill>
                </w14:textFill>
              </w:rPr>
              <w:t>21号】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5.企业名称：【福建漳州农村商业银行股份有限公司】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91350600K18570963C】</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住所：【福建省漳州市芗城区水仙大街</w:t>
            </w:r>
            <w:r>
              <w:rPr>
                <w:rFonts w:ascii="楷体_GB2312" w:eastAsia="楷体_GB2312" w:cs="楷体_GB2312"/>
                <w:color w:val="000000" w:themeColor="text1"/>
                <w:sz w:val="20"/>
                <w:szCs w:val="20"/>
                <w14:textFill>
                  <w14:solidFill>
                    <w14:schemeClr w14:val="tx1"/>
                  </w14:solidFill>
                </w14:textFill>
              </w:rPr>
              <w:t>53号信合大厦A-B幢】</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6.企业名称：【福建上杭农村商业银行股份有限公司】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91350800557577704X】</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住所：【福建省上杭县临江镇振兴路</w:t>
            </w:r>
            <w:r>
              <w:rPr>
                <w:rFonts w:ascii="楷体_GB2312" w:eastAsia="楷体_GB2312" w:cs="楷体_GB2312"/>
                <w:color w:val="000000" w:themeColor="text1"/>
                <w:sz w:val="20"/>
                <w:szCs w:val="20"/>
                <w14:textFill>
                  <w14:solidFill>
                    <w14:schemeClr w14:val="tx1"/>
                  </w14:solidFill>
                </w14:textFill>
              </w:rPr>
              <w:t>171号】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7.企业名称：【福建龙岩农村商业银行股份有限公司】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91350800591748052D】</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住所：【福建省龙岩市新罗区龙岩大道中</w:t>
            </w:r>
            <w:r>
              <w:rPr>
                <w:rFonts w:ascii="楷体_GB2312" w:eastAsia="楷体_GB2312" w:cs="楷体_GB2312"/>
                <w:color w:val="000000" w:themeColor="text1"/>
                <w:sz w:val="20"/>
                <w:szCs w:val="20"/>
                <w14:textFill>
                  <w14:solidFill>
                    <w14:schemeClr w14:val="tx1"/>
                  </w14:solidFill>
                </w14:textFill>
              </w:rPr>
              <w:t>296号】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8.企业名称：【明溪县农村信用合作联社】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9135042115574651XN】</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住所：【福建省三明市明溪县雪峰镇河滨北路</w:t>
            </w:r>
            <w:r>
              <w:rPr>
                <w:rFonts w:ascii="楷体_GB2312" w:eastAsia="楷体_GB2312" w:cs="楷体_GB2312"/>
                <w:color w:val="000000" w:themeColor="text1"/>
                <w:sz w:val="20"/>
                <w:szCs w:val="20"/>
                <w14:textFill>
                  <w14:solidFill>
                    <w14:schemeClr w14:val="tx1"/>
                  </w14:solidFill>
                </w14:textFill>
              </w:rPr>
              <w:t>339号】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9.企业名称：【福鼎市农村信用合作联社】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91350982157516697M】</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住所：【福建省福鼎市太姥商厦</w:t>
            </w:r>
            <w:r>
              <w:rPr>
                <w:rFonts w:ascii="楷体_GB2312" w:eastAsia="楷体_GB2312" w:cs="楷体_GB2312"/>
                <w:color w:val="000000" w:themeColor="text1"/>
                <w:sz w:val="20"/>
                <w:szCs w:val="20"/>
                <w14:textFill>
                  <w14:solidFill>
                    <w14:schemeClr w14:val="tx1"/>
                  </w14:solidFill>
                </w14:textFill>
              </w:rPr>
              <w:t>A幢】</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10.企业名称：【南靖县农村信用合作联社】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91350627796050678F】</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住所：【福建省漳州市南靖县山城镇中山北路</w:t>
            </w:r>
            <w:r>
              <w:rPr>
                <w:rFonts w:ascii="楷体_GB2312" w:eastAsia="楷体_GB2312" w:cs="楷体_GB2312"/>
                <w:color w:val="000000" w:themeColor="text1"/>
                <w:sz w:val="20"/>
                <w:szCs w:val="20"/>
                <w14:textFill>
                  <w14:solidFill>
                    <w14:schemeClr w14:val="tx1"/>
                  </w14:solidFill>
                </w14:textFill>
              </w:rPr>
              <w:t>47号】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11.企业名称：【福建平和农村商业银行股份有限公司】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91350628705264882Q】</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住所：【福建省漳州市平和县小溪镇北环路</w:t>
            </w:r>
            <w:r>
              <w:rPr>
                <w:rFonts w:ascii="楷体_GB2312" w:eastAsia="楷体_GB2312" w:cs="楷体_GB2312"/>
                <w:color w:val="000000" w:themeColor="text1"/>
                <w:sz w:val="20"/>
                <w:szCs w:val="20"/>
                <w14:textFill>
                  <w14:solidFill>
                    <w14:schemeClr w14:val="tx1"/>
                  </w14:solidFill>
                </w14:textFill>
              </w:rPr>
              <w:t>86号】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12.企业名称：【福建龙海农村商业银行股份有限公司】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913506001566293585】</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住所：【福建省漳州市龙海区石码镇港林路</w:t>
            </w:r>
            <w:r>
              <w:rPr>
                <w:rFonts w:ascii="楷体_GB2312" w:eastAsia="楷体_GB2312" w:cs="楷体_GB2312"/>
                <w:color w:val="000000" w:themeColor="text1"/>
                <w:sz w:val="20"/>
                <w:szCs w:val="20"/>
                <w14:textFill>
                  <w14:solidFill>
                    <w14:schemeClr w14:val="tx1"/>
                  </w14:solidFill>
                </w14:textFill>
              </w:rPr>
              <w:t>17号】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13.企业名称：【福建漳浦农村商业银行股份有限公司】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91350623490208911U】</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住所：【福建漳浦县绥安镇朝阳大道东</w:t>
            </w:r>
            <w:r>
              <w:rPr>
                <w:rFonts w:ascii="楷体_GB2312" w:eastAsia="楷体_GB2312" w:cs="楷体_GB2312"/>
                <w:color w:val="000000" w:themeColor="text1"/>
                <w:sz w:val="20"/>
                <w:szCs w:val="20"/>
                <w14:textFill>
                  <w14:solidFill>
                    <w14:schemeClr w14:val="tx1"/>
                  </w14:solidFill>
                </w14:textFill>
              </w:rPr>
              <w:t>296号】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14.企业名称：【福建沙县农村商业银行股份有限公司】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91350400155942828J】</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住所：【沙县李纲中路</w:t>
            </w:r>
            <w:r>
              <w:rPr>
                <w:rFonts w:ascii="楷体_GB2312" w:eastAsia="楷体_GB2312" w:cs="楷体_GB2312"/>
                <w:color w:val="000000" w:themeColor="text1"/>
                <w:sz w:val="20"/>
                <w:szCs w:val="20"/>
                <w14:textFill>
                  <w14:solidFill>
                    <w14:schemeClr w14:val="tx1"/>
                  </w14:solidFill>
                </w14:textFill>
              </w:rPr>
              <w:t>100号】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15.企业名称：【福建石狮农村商业银行股份有限公司】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9135050057474026XJ】</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住所：【福建省石狮市八七路</w:t>
            </w:r>
            <w:r>
              <w:rPr>
                <w:rFonts w:ascii="楷体_GB2312" w:eastAsia="楷体_GB2312" w:cs="楷体_GB2312"/>
                <w:color w:val="000000" w:themeColor="text1"/>
                <w:sz w:val="20"/>
                <w:szCs w:val="20"/>
                <w14:textFill>
                  <w14:solidFill>
                    <w14:schemeClr w14:val="tx1"/>
                  </w14:solidFill>
                </w14:textFill>
              </w:rPr>
              <w:t>2128-2150号】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16.企业名称：【泉州农村商业银行股份有限公司】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91350500569296483H】</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住所：【福建省泉州市丰泽区滨海街</w:t>
            </w:r>
            <w:r>
              <w:rPr>
                <w:rFonts w:ascii="楷体_GB2312" w:eastAsia="楷体_GB2312" w:cs="楷体_GB2312"/>
                <w:color w:val="000000" w:themeColor="text1"/>
                <w:sz w:val="20"/>
                <w:szCs w:val="20"/>
                <w14:textFill>
                  <w14:solidFill>
                    <w14:schemeClr w14:val="tx1"/>
                  </w14:solidFill>
                </w14:textFill>
              </w:rPr>
              <w:t>222号香缤中心1层靠府东路区域、10层、11层】</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17.企业名称：【长汀县农村信用合作联社】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9135082115791584XJ】</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住所：【福建省长汀县兆征路</w:t>
            </w:r>
            <w:r>
              <w:rPr>
                <w:rFonts w:ascii="楷体_GB2312" w:eastAsia="楷体_GB2312" w:cs="楷体_GB2312"/>
                <w:color w:val="000000" w:themeColor="text1"/>
                <w:sz w:val="20"/>
                <w:szCs w:val="20"/>
                <w14:textFill>
                  <w14:solidFill>
                    <w14:schemeClr w14:val="tx1"/>
                  </w14:solidFill>
                </w14:textFill>
              </w:rPr>
              <w:t>148号】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18.企业名称：【罗源县农村信用合作联社】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91350123611832535H】</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住所：【罗源县凤山镇北大路</w:t>
            </w:r>
            <w:r>
              <w:rPr>
                <w:rFonts w:ascii="楷体_GB2312" w:eastAsia="楷体_GB2312" w:cs="楷体_GB2312"/>
                <w:color w:val="000000" w:themeColor="text1"/>
                <w:sz w:val="20"/>
                <w:szCs w:val="20"/>
                <w14:textFill>
                  <w14:solidFill>
                    <w14:schemeClr w14:val="tx1"/>
                  </w14:solidFill>
                </w14:textFill>
              </w:rPr>
              <w:t>11号】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19.企业名称：【福建晋江农村商业银行股份有限公司】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91350500587541382D】</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住所：【福建省晋江市青阳街道崇德路</w:t>
            </w:r>
            <w:r>
              <w:rPr>
                <w:rFonts w:ascii="楷体_GB2312" w:eastAsia="楷体_GB2312" w:cs="楷体_GB2312"/>
                <w:color w:val="000000" w:themeColor="text1"/>
                <w:sz w:val="20"/>
                <w:szCs w:val="20"/>
                <w14:textFill>
                  <w14:solidFill>
                    <w14:schemeClr w14:val="tx1"/>
                  </w14:solidFill>
                </w14:textFill>
              </w:rPr>
              <w:t>196号】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20.企业名称：【南平市建阳区农村信用合作联社】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9135078415714992XQ】</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住所：【南平市建阳区人民路</w:t>
            </w:r>
            <w:r>
              <w:rPr>
                <w:rFonts w:ascii="楷体_GB2312" w:eastAsia="楷体_GB2312" w:cs="楷体_GB2312"/>
                <w:color w:val="000000" w:themeColor="text1"/>
                <w:sz w:val="20"/>
                <w:szCs w:val="20"/>
                <w14:textFill>
                  <w14:solidFill>
                    <w14:schemeClr w14:val="tx1"/>
                  </w14:solidFill>
                </w14:textFill>
              </w:rPr>
              <w:t>11号】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21.企业名称：【闽清县农村信用合作联社】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91350124488415268A】</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住所：【福建省福州市闽清县梅城镇西门街</w:t>
            </w:r>
            <w:r>
              <w:rPr>
                <w:rFonts w:ascii="楷体_GB2312" w:eastAsia="楷体_GB2312" w:cs="楷体_GB2312"/>
                <w:color w:val="000000" w:themeColor="text1"/>
                <w:sz w:val="20"/>
                <w:szCs w:val="20"/>
                <w14:textFill>
                  <w14:solidFill>
                    <w14:schemeClr w14:val="tx1"/>
                  </w14:solidFill>
                </w14:textFill>
              </w:rPr>
              <w:t>196号】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22.企业名称：【清流县农村信用合作联社】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91350423855783290R】</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住所：【福建省三明市清流县龙津镇文化街</w:t>
            </w:r>
            <w:r>
              <w:rPr>
                <w:rFonts w:ascii="楷体_GB2312" w:eastAsia="楷体_GB2312" w:cs="楷体_GB2312"/>
                <w:color w:val="000000" w:themeColor="text1"/>
                <w:sz w:val="20"/>
                <w:szCs w:val="20"/>
                <w14:textFill>
                  <w14:solidFill>
                    <w14:schemeClr w14:val="tx1"/>
                  </w14:solidFill>
                </w14:textFill>
              </w:rPr>
              <w:t>123号】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23.企业名称：【福建三明农村商业银行股份有限公司】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91350400705179135H】</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住所：【福建省三明市三元区和仁新村</w:t>
            </w:r>
            <w:r>
              <w:rPr>
                <w:rFonts w:ascii="楷体_GB2312" w:eastAsia="楷体_GB2312" w:cs="楷体_GB2312"/>
                <w:color w:val="000000" w:themeColor="text1"/>
                <w:sz w:val="20"/>
                <w:szCs w:val="20"/>
                <w14:textFill>
                  <w14:solidFill>
                    <w14:schemeClr w14:val="tx1"/>
                  </w14:solidFill>
                </w14:textFill>
              </w:rPr>
              <w:t>10幢一至四层】</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24.企业名称：【福建邵武农村商业银行股份有限公司】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913507816119610973】</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住所：【福建省邵武市熙春中路</w:t>
            </w:r>
            <w:r>
              <w:rPr>
                <w:rFonts w:ascii="楷体_GB2312" w:eastAsia="楷体_GB2312" w:cs="楷体_GB2312"/>
                <w:color w:val="000000" w:themeColor="text1"/>
                <w:sz w:val="20"/>
                <w:szCs w:val="20"/>
                <w14:textFill>
                  <w14:solidFill>
                    <w14:schemeClr w14:val="tx1"/>
                  </w14:solidFill>
                </w14:textFill>
              </w:rPr>
              <w:t>248号】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25.企业名称：【福建仙游农村商业银行股份有限公司】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91350322705173788D】</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住所：【仙游县鲤城园滨路</w:t>
            </w:r>
            <w:r>
              <w:rPr>
                <w:rFonts w:ascii="楷体_GB2312" w:eastAsia="楷体_GB2312" w:cs="楷体_GB2312"/>
                <w:color w:val="000000" w:themeColor="text1"/>
                <w:sz w:val="20"/>
                <w:szCs w:val="20"/>
                <w14:textFill>
                  <w14:solidFill>
                    <w14:schemeClr w14:val="tx1"/>
                  </w14:solidFill>
                </w14:textFill>
              </w:rPr>
              <w:t>135号】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26.企业名称：【浦城县农村信用合作联社】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913507228572339896】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住所：【福建省浦城县兴浦路</w:t>
            </w:r>
            <w:r>
              <w:rPr>
                <w:rFonts w:ascii="楷体_GB2312" w:eastAsia="楷体_GB2312" w:cs="楷体_GB2312"/>
                <w:color w:val="000000" w:themeColor="text1"/>
                <w:sz w:val="20"/>
                <w:szCs w:val="20"/>
                <w14:textFill>
                  <w14:solidFill>
                    <w14:schemeClr w14:val="tx1"/>
                  </w14:solidFill>
                </w14:textFill>
              </w:rPr>
              <w:t>235号】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27.企业名称：【屏南县农村信用合作联社】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913509231576632409】</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住所：【屏南县古峰镇翠屏南路</w:t>
            </w:r>
            <w:r>
              <w:rPr>
                <w:rFonts w:ascii="楷体_GB2312" w:eastAsia="楷体_GB2312" w:cs="楷体_GB2312"/>
                <w:color w:val="000000" w:themeColor="text1"/>
                <w:sz w:val="20"/>
                <w:szCs w:val="20"/>
                <w14:textFill>
                  <w14:solidFill>
                    <w14:schemeClr w14:val="tx1"/>
                  </w14:solidFill>
                </w14:textFill>
              </w:rPr>
              <w:t>135号】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28.企业名称：【永春县农村信用合作联社】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9135052515640823XL】</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住所：【福建省泉州市永春县桃城镇湖滨路</w:t>
            </w:r>
            <w:r>
              <w:rPr>
                <w:rFonts w:ascii="楷体_GB2312" w:eastAsia="楷体_GB2312" w:cs="楷体_GB2312"/>
                <w:color w:val="000000" w:themeColor="text1"/>
                <w:sz w:val="20"/>
                <w:szCs w:val="20"/>
                <w14:textFill>
                  <w14:solidFill>
                    <w14:schemeClr w14:val="tx1"/>
                  </w14:solidFill>
                </w14:textFill>
              </w:rPr>
              <w:t>301号】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29.企业名称：【古田县农村信用合作联社】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91350922490534880D】</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住所：【福建省古田县城东街道滨河东路</w:t>
            </w:r>
            <w:r>
              <w:rPr>
                <w:rFonts w:ascii="楷体_GB2312" w:eastAsia="楷体_GB2312" w:cs="楷体_GB2312"/>
                <w:color w:val="000000" w:themeColor="text1"/>
                <w:sz w:val="20"/>
                <w:szCs w:val="20"/>
                <w14:textFill>
                  <w14:solidFill>
                    <w14:schemeClr w14:val="tx1"/>
                  </w14:solidFill>
                </w14:textFill>
              </w:rPr>
              <w:t>9号】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30.企业名称：【福建长乐农村商业银行股份有限公司】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91350100MA2XN9B51X】</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住所：【福建省福州市长乐市吴航街道朝阳中路</w:t>
            </w:r>
            <w:r>
              <w:rPr>
                <w:rFonts w:ascii="楷体_GB2312" w:eastAsia="楷体_GB2312" w:cs="楷体_GB2312"/>
                <w:color w:val="000000" w:themeColor="text1"/>
                <w:sz w:val="20"/>
                <w:szCs w:val="20"/>
                <w14:textFill>
                  <w14:solidFill>
                    <w14:schemeClr w14:val="tx1"/>
                  </w14:solidFill>
                </w14:textFill>
              </w:rPr>
              <w:t>193号】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31.企业名称：【漳州市长泰区农村信用合作联社】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91350625489783265Y】</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住所：【福建省漳州市长泰区武安镇人民西路</w:t>
            </w:r>
            <w:r>
              <w:rPr>
                <w:rFonts w:ascii="楷体_GB2312" w:eastAsia="楷体_GB2312" w:cs="楷体_GB2312"/>
                <w:color w:val="000000" w:themeColor="text1"/>
                <w:sz w:val="20"/>
                <w:szCs w:val="20"/>
                <w14:textFill>
                  <w14:solidFill>
                    <w14:schemeClr w14:val="tx1"/>
                  </w14:solidFill>
                </w14:textFill>
              </w:rPr>
              <w:t>206号】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32.企业名称：【福建建瓯农村商业银行股份有限公司】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91350700MA32CNHC90】</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住所：【福建省建瓯市中山路</w:t>
            </w:r>
            <w:r>
              <w:rPr>
                <w:rFonts w:ascii="楷体_GB2312" w:eastAsia="楷体_GB2312" w:cs="楷体_GB2312"/>
                <w:color w:val="000000" w:themeColor="text1"/>
                <w:sz w:val="20"/>
                <w:szCs w:val="20"/>
                <w14:textFill>
                  <w14:solidFill>
                    <w14:schemeClr w14:val="tx1"/>
                  </w14:solidFill>
                </w14:textFill>
              </w:rPr>
              <w:t>463号】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33.企业名称：【厦门农村商业银行股份有限公司】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913502007841895767】</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住所：【中国（福建）自由贸易试验区厦门片区东港北路</w:t>
            </w:r>
            <w:r>
              <w:rPr>
                <w:rFonts w:ascii="楷体_GB2312" w:eastAsia="楷体_GB2312" w:cs="楷体_GB2312"/>
                <w:color w:val="000000" w:themeColor="text1"/>
                <w:sz w:val="20"/>
                <w:szCs w:val="20"/>
                <w14:textFill>
                  <w14:solidFill>
                    <w14:schemeClr w14:val="tx1"/>
                  </w14:solidFill>
                </w14:textFill>
              </w:rPr>
              <w:t>31号（1层、17层、19层、27-28层、30-31层）】</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4008396336】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34.企业名称：【福建南安农村商业银行股份有限公司】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91350500591746372J】</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住所：【福建省南安市成功街</w:t>
            </w:r>
            <w:r>
              <w:rPr>
                <w:rFonts w:ascii="楷体_GB2312" w:eastAsia="楷体_GB2312" w:cs="楷体_GB2312"/>
                <w:color w:val="000000" w:themeColor="text1"/>
                <w:sz w:val="20"/>
                <w:szCs w:val="20"/>
                <w14:textFill>
                  <w14:solidFill>
                    <w14:schemeClr w14:val="tx1"/>
                  </w14:solidFill>
                </w14:textFill>
              </w:rPr>
              <w:t>889号】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35.企业名称：【福建连江农村商业银行股份有限公司】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91350100MA8RRCQF43】</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住所：【福建省福州市连江县凤城镇丹凤东路</w:t>
            </w:r>
            <w:r>
              <w:rPr>
                <w:rFonts w:ascii="楷体_GB2312" w:eastAsia="楷体_GB2312" w:cs="楷体_GB2312"/>
                <w:color w:val="000000" w:themeColor="text1"/>
                <w:sz w:val="20"/>
                <w:szCs w:val="20"/>
                <w14:textFill>
                  <w14:solidFill>
                    <w14:schemeClr w14:val="tx1"/>
                  </w14:solidFill>
                </w14:textFill>
              </w:rPr>
              <w:t>30号】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36.企业名称：【闽侯县农村信用合作联社】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91350121X112262325】</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住所：【福建省福州市闽侯县甘蔗街道入城路北侧】</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37.企业名称：【永泰县农村信用合作联社】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913501251548278361】</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住所：【福建省永泰县樟城镇南湖花园</w:t>
            </w:r>
            <w:r>
              <w:rPr>
                <w:rFonts w:ascii="楷体_GB2312" w:eastAsia="楷体_GB2312" w:cs="楷体_GB2312"/>
                <w:color w:val="000000" w:themeColor="text1"/>
                <w:sz w:val="20"/>
                <w:szCs w:val="20"/>
                <w14:textFill>
                  <w14:solidFill>
                    <w14:schemeClr w14:val="tx1"/>
                  </w14:solidFill>
                </w14:textFill>
              </w:rPr>
              <w:t>E区9号】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38.企业名称：【福建平潭农村商业银行股份有限公司】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91350128054333046J】</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住所：【平潭县潭城镇龙里路西侧】</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39.企业名称：【福建南平农村商业银行股份有限公司】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91350700574741860C】</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住所：【南平市八一路</w:t>
            </w:r>
            <w:r>
              <w:rPr>
                <w:rFonts w:ascii="楷体_GB2312" w:eastAsia="楷体_GB2312" w:cs="楷体_GB2312"/>
                <w:color w:val="000000" w:themeColor="text1"/>
                <w:sz w:val="20"/>
                <w:szCs w:val="20"/>
                <w14:textFill>
                  <w14:solidFill>
                    <w14:schemeClr w14:val="tx1"/>
                  </w14:solidFill>
                </w14:textFill>
              </w:rPr>
              <w:t>356号1-11层】</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40.企业名称：【福建武夷山农村商业银行股份有限公司】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91350700MA2XR1RJ8W】</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住所：【福建省武夷山市环岛西路</w:t>
            </w:r>
            <w:r>
              <w:rPr>
                <w:rFonts w:ascii="楷体_GB2312" w:eastAsia="楷体_GB2312" w:cs="楷体_GB2312"/>
                <w:color w:val="000000" w:themeColor="text1"/>
                <w:sz w:val="20"/>
                <w:szCs w:val="20"/>
                <w14:textFill>
                  <w14:solidFill>
                    <w14:schemeClr w14:val="tx1"/>
                  </w14:solidFill>
                </w14:textFill>
              </w:rPr>
              <w:t>76号】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41.企业名称：【顺昌县农村信用合作联社】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913507217052790726】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住所：【福建省南平市顺昌县中山中路</w:t>
            </w:r>
            <w:r>
              <w:rPr>
                <w:rFonts w:ascii="楷体_GB2312" w:eastAsia="楷体_GB2312" w:cs="楷体_GB2312"/>
                <w:color w:val="000000" w:themeColor="text1"/>
                <w:sz w:val="20"/>
                <w:szCs w:val="20"/>
                <w14:textFill>
                  <w14:solidFill>
                    <w14:schemeClr w14:val="tx1"/>
                  </w14:solidFill>
                </w14:textFill>
              </w:rPr>
              <w:t>53号】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42.企业名称：【政和县农村信用合作联社】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913507257983797681】</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住所：【政和县城关西大街为民路</w:t>
            </w:r>
            <w:r>
              <w:rPr>
                <w:rFonts w:ascii="楷体_GB2312" w:eastAsia="楷体_GB2312" w:cs="楷体_GB2312"/>
                <w:color w:val="000000" w:themeColor="text1"/>
                <w:sz w:val="20"/>
                <w:szCs w:val="20"/>
                <w14:textFill>
                  <w14:solidFill>
                    <w14:schemeClr w14:val="tx1"/>
                  </w14:solidFill>
                </w14:textFill>
              </w:rPr>
              <w:t>4号】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43.企业名称：【松溪县农村信用合作联社】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91350724628683062J】</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住所：【松溪县工农东路</w:t>
            </w:r>
            <w:r>
              <w:rPr>
                <w:rFonts w:ascii="楷体_GB2312" w:eastAsia="楷体_GB2312" w:cs="楷体_GB2312"/>
                <w:color w:val="000000" w:themeColor="text1"/>
                <w:sz w:val="20"/>
                <w:szCs w:val="20"/>
                <w14:textFill>
                  <w14:solidFill>
                    <w14:schemeClr w14:val="tx1"/>
                  </w14:solidFill>
                </w14:textFill>
              </w:rPr>
              <w:t>1号】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44.企业名称：【德化县农村信用合作联社】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913505264894909722】</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住所：【福建省德化县浔中镇浔东北路</w:t>
            </w:r>
            <w:r>
              <w:rPr>
                <w:rFonts w:ascii="楷体_GB2312" w:eastAsia="楷体_GB2312" w:cs="楷体_GB2312"/>
                <w:color w:val="000000" w:themeColor="text1"/>
                <w:sz w:val="20"/>
                <w:szCs w:val="20"/>
                <w14:textFill>
                  <w14:solidFill>
                    <w14:schemeClr w14:val="tx1"/>
                  </w14:solidFill>
                </w14:textFill>
              </w:rPr>
              <w:t>5号】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45.企业名称：【东山县农村信用合作联社】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913506267052604512】</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住所：【福建省东山县西埔镇白石街泽园路</w:t>
            </w:r>
            <w:r>
              <w:rPr>
                <w:rFonts w:ascii="楷体_GB2312" w:eastAsia="楷体_GB2312" w:cs="楷体_GB2312"/>
                <w:color w:val="000000" w:themeColor="text1"/>
                <w:sz w:val="20"/>
                <w:szCs w:val="20"/>
                <w14:textFill>
                  <w14:solidFill>
                    <w14:schemeClr w14:val="tx1"/>
                  </w14:solidFill>
                </w14:textFill>
              </w:rPr>
              <w:t>348号】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46.企业名称：【龙岩市永定区农村信用合作联社】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91350822611996126G】</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住所：【福建省龙岩市永定区凤城沿河北路</w:t>
            </w:r>
            <w:r>
              <w:rPr>
                <w:rFonts w:ascii="楷体_GB2312" w:eastAsia="楷体_GB2312" w:cs="楷体_GB2312"/>
                <w:color w:val="000000" w:themeColor="text1"/>
                <w:sz w:val="20"/>
                <w:szCs w:val="20"/>
                <w14:textFill>
                  <w14:solidFill>
                    <w14:schemeClr w14:val="tx1"/>
                  </w14:solidFill>
                </w14:textFill>
              </w:rPr>
              <w:t>128号】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47.企业名称：【连城县农村信用合作联社】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913508257053291561】</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住所：【连城县莲峰镇北大东路</w:t>
            </w:r>
            <w:r>
              <w:rPr>
                <w:rFonts w:ascii="楷体_GB2312" w:eastAsia="楷体_GB2312" w:cs="楷体_GB2312"/>
                <w:color w:val="000000" w:themeColor="text1"/>
                <w:sz w:val="20"/>
                <w:szCs w:val="20"/>
                <w14:textFill>
                  <w14:solidFill>
                    <w14:schemeClr w14:val="tx1"/>
                  </w14:solidFill>
                </w14:textFill>
              </w:rPr>
              <w:t>64号（百花金城小区1号楼）】</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48.企业名称：【武平县农村信用合作联社】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91350824158023085J】</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住所：【福建省龙岩市武平县武平大道</w:t>
            </w:r>
            <w:r>
              <w:rPr>
                <w:rFonts w:ascii="楷体_GB2312" w:eastAsia="楷体_GB2312" w:cs="楷体_GB2312"/>
                <w:color w:val="000000" w:themeColor="text1"/>
                <w:sz w:val="20"/>
                <w:szCs w:val="20"/>
                <w14:textFill>
                  <w14:solidFill>
                    <w14:schemeClr w14:val="tx1"/>
                  </w14:solidFill>
                </w14:textFill>
              </w:rPr>
              <w:t>18号】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49.企业名称：【福建漳平农村商业银行股份有限公司】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91350800MA3499FF8R】</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住所：【福建省龙岩市漳平市桂林街道桂林路</w:t>
            </w:r>
            <w:r>
              <w:rPr>
                <w:rFonts w:ascii="楷体_GB2312" w:eastAsia="楷体_GB2312" w:cs="楷体_GB2312"/>
                <w:color w:val="000000" w:themeColor="text1"/>
                <w:sz w:val="20"/>
                <w:szCs w:val="20"/>
                <w14:textFill>
                  <w14:solidFill>
                    <w14:schemeClr w14:val="tx1"/>
                  </w14:solidFill>
                </w14:textFill>
              </w:rPr>
              <w:t>59号】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50.企业名称：【寿宁县农村信用合作联社】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91350924490600147J】</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住所：【福建省宁德市寿宁县鳌阳镇东区梦龙街</w:t>
            </w:r>
            <w:r>
              <w:rPr>
                <w:rFonts w:ascii="楷体_GB2312" w:eastAsia="楷体_GB2312" w:cs="楷体_GB2312"/>
                <w:color w:val="000000" w:themeColor="text1"/>
                <w:sz w:val="20"/>
                <w:szCs w:val="20"/>
                <w14:textFill>
                  <w14:solidFill>
                    <w14:schemeClr w14:val="tx1"/>
                  </w14:solidFill>
                </w14:textFill>
              </w:rPr>
              <w:t>5号】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51.企业名称：【周宁县农村信用合作联社】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91350925857745992A】</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住所：【福建省周宁县狮城镇桥南街</w:t>
            </w:r>
            <w:r>
              <w:rPr>
                <w:rFonts w:ascii="楷体_GB2312" w:eastAsia="楷体_GB2312" w:cs="楷体_GB2312"/>
                <w:color w:val="000000" w:themeColor="text1"/>
                <w:sz w:val="20"/>
                <w:szCs w:val="20"/>
                <w14:textFill>
                  <w14:solidFill>
                    <w14:schemeClr w14:val="tx1"/>
                  </w14:solidFill>
                </w14:textFill>
              </w:rPr>
              <w:t>73号】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52.企业名称：【柘荣县农村信用合作联社股份有限公司】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913509007356873845】</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住所：【福建省柘荣县六一五西路</w:t>
            </w:r>
            <w:r>
              <w:rPr>
                <w:rFonts w:ascii="楷体_GB2312" w:eastAsia="楷体_GB2312" w:cs="楷体_GB2312"/>
                <w:color w:val="000000" w:themeColor="text1"/>
                <w:sz w:val="20"/>
                <w:szCs w:val="20"/>
                <w14:textFill>
                  <w14:solidFill>
                    <w14:schemeClr w14:val="tx1"/>
                  </w14:solidFill>
                </w14:textFill>
              </w:rPr>
              <w:t>2号】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53.企业名称：【霞浦县农村信用合作联社】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91350921157546028B】</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住所：【福建省宁德市霞浦县赤岸大道</w:t>
            </w:r>
            <w:r>
              <w:rPr>
                <w:rFonts w:ascii="楷体_GB2312" w:eastAsia="楷体_GB2312" w:cs="楷体_GB2312"/>
                <w:color w:val="000000" w:themeColor="text1"/>
                <w:sz w:val="20"/>
                <w:szCs w:val="20"/>
                <w14:textFill>
                  <w14:solidFill>
                    <w14:schemeClr w14:val="tx1"/>
                  </w14:solidFill>
                </w14:textFill>
              </w:rPr>
              <w:t>11号】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54.企业名称：【尤溪县农村信用合作联社】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913504261559035621】</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住所：【福建省三明市尤溪县城关镇解放路</w:t>
            </w:r>
            <w:r>
              <w:rPr>
                <w:rFonts w:ascii="楷体_GB2312" w:eastAsia="楷体_GB2312" w:cs="楷体_GB2312"/>
                <w:color w:val="000000" w:themeColor="text1"/>
                <w:sz w:val="20"/>
                <w:szCs w:val="20"/>
                <w14:textFill>
                  <w14:solidFill>
                    <w14:schemeClr w14:val="tx1"/>
                  </w14:solidFill>
                </w14:textFill>
              </w:rPr>
              <w:t>39号】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55.企业名称：【福建永安农村商业银行股份有限公司】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91350481158186511Y】</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住所：【福建省永安市燕江中路</w:t>
            </w:r>
            <w:r>
              <w:rPr>
                <w:rFonts w:ascii="楷体_GB2312" w:eastAsia="楷体_GB2312" w:cs="楷体_GB2312"/>
                <w:color w:val="000000" w:themeColor="text1"/>
                <w:sz w:val="20"/>
                <w:szCs w:val="20"/>
                <w14:textFill>
                  <w14:solidFill>
                    <w14:schemeClr w14:val="tx1"/>
                  </w14:solidFill>
                </w14:textFill>
              </w:rPr>
              <w:t>551号】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56.企业名称：【宁化县农村信用合作联社】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91350424155823108N】</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住所：【福建省宁化县翠江镇中环南路</w:t>
            </w:r>
            <w:r>
              <w:rPr>
                <w:rFonts w:ascii="楷体_GB2312" w:eastAsia="楷体_GB2312" w:cs="楷体_GB2312"/>
                <w:color w:val="000000" w:themeColor="text1"/>
                <w:sz w:val="20"/>
                <w:szCs w:val="20"/>
                <w14:textFill>
                  <w14:solidFill>
                    <w14:schemeClr w14:val="tx1"/>
                  </w14:solidFill>
                </w14:textFill>
              </w:rPr>
              <w:t>1号中环花园商住楼4号楼】</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57.企业名称：【建宁县农村信用合作联社】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91350430156061184A】</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住所：【福建省三明市建宁县濉溪镇荷花东路</w:t>
            </w:r>
            <w:r>
              <w:rPr>
                <w:rFonts w:ascii="楷体_GB2312" w:eastAsia="楷体_GB2312" w:cs="楷体_GB2312"/>
                <w:color w:val="000000" w:themeColor="text1"/>
                <w:sz w:val="20"/>
                <w:szCs w:val="20"/>
                <w14:textFill>
                  <w14:solidFill>
                    <w14:schemeClr w14:val="tx1"/>
                  </w14:solidFill>
                </w14:textFill>
              </w:rPr>
              <w:t>11号】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58.企业名称：【将乐县农村信用合作联社】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913504281559807018】</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住所：【福建省三明市将乐县水南三华南路</w:t>
            </w:r>
            <w:r>
              <w:rPr>
                <w:rFonts w:ascii="楷体_GB2312" w:eastAsia="楷体_GB2312" w:cs="楷体_GB2312"/>
                <w:color w:val="000000" w:themeColor="text1"/>
                <w:sz w:val="20"/>
                <w:szCs w:val="20"/>
                <w14:textFill>
                  <w14:solidFill>
                    <w14:schemeClr w14:val="tx1"/>
                  </w14:solidFill>
                </w14:textFill>
              </w:rPr>
              <w:t>27号】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59.企业名称：【泰宁县农村信用合作联社】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9135042915602114X7】</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住所：【福建省泰宁县杉城镇水南西街</w:t>
            </w:r>
            <w:r>
              <w:rPr>
                <w:rFonts w:ascii="楷体_GB2312" w:eastAsia="楷体_GB2312" w:cs="楷体_GB2312"/>
                <w:color w:val="000000" w:themeColor="text1"/>
                <w:sz w:val="20"/>
                <w:szCs w:val="20"/>
                <w14:textFill>
                  <w14:solidFill>
                    <w14:schemeClr w14:val="tx1"/>
                  </w14:solidFill>
                </w14:textFill>
              </w:rPr>
              <w:t>13号】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60.企业名称：【大田县农村信用合作联社】</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913504251558615936】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住所：【福建省三明市大田县均溪镇赤岩山路</w:t>
            </w:r>
            <w:r>
              <w:rPr>
                <w:rFonts w:ascii="楷体_GB2312" w:eastAsia="楷体_GB2312" w:cs="楷体_GB2312"/>
                <w:color w:val="000000" w:themeColor="text1"/>
                <w:sz w:val="20"/>
                <w:szCs w:val="20"/>
                <w14:textFill>
                  <w14:solidFill>
                    <w14:schemeClr w14:val="tx1"/>
                  </w14:solidFill>
                </w14:textFill>
              </w:rPr>
              <w:t>2号】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61.企业名称：【福建莆田农村商业银行股份有限公司】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91350300561692123U】</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住所：【福建省莆田市城厢区霞林街道南园西路</w:t>
            </w:r>
            <w:r>
              <w:rPr>
                <w:rFonts w:ascii="楷体_GB2312" w:eastAsia="楷体_GB2312" w:cs="楷体_GB2312"/>
                <w:color w:val="000000" w:themeColor="text1"/>
                <w:sz w:val="20"/>
                <w:szCs w:val="20"/>
                <w14:textFill>
                  <w14:solidFill>
                    <w14:schemeClr w14:val="tx1"/>
                  </w14:solidFill>
                </w14:textFill>
              </w:rPr>
              <w:t>266号】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0591-96336】</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62.企业名称：【信银理财有限责任公司】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L类份额（份额代码【AM244179L】）合作销售机构信息：</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873" w:type="pct"/>
            <w:vAlign w:val="center"/>
          </w:tcPr>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理财产品认/申购、赎回等业务办理；</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企业名称：【中信银行股份有限公司】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91110000101690725E】</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纳税人识别号：【</w:t>
            </w:r>
            <w:r>
              <w:rPr>
                <w:rFonts w:ascii="楷体_GB2312" w:eastAsia="楷体_GB2312" w:cs="楷体_GB2312"/>
                <w:color w:val="000000" w:themeColor="text1"/>
                <w:sz w:val="20"/>
                <w:szCs w:val="20"/>
                <w14:textFill>
                  <w14:solidFill>
                    <w14:schemeClr w14:val="tx1"/>
                  </w14:solidFill>
                </w14:textFill>
              </w:rPr>
              <w:t>91110000101690725E】</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法定代表人：【方合英】</w:t>
            </w:r>
          </w:p>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住所：【北京市朝阳区光华路</w:t>
            </w:r>
            <w:r>
              <w:rPr>
                <w:rFonts w:ascii="楷体_GB2312" w:eastAsia="楷体_GB2312" w:cs="楷体_GB2312"/>
                <w:color w:val="000000" w:themeColor="text1"/>
                <w:sz w:val="20"/>
                <w:szCs w:val="20"/>
                <w14:textFill>
                  <w14:solidFill>
                    <w14:schemeClr w14:val="tx1"/>
                  </w14:solidFill>
                </w14:textFill>
              </w:rPr>
              <w:t>10号中信大厦】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873" w:type="pct"/>
            <w:vAlign w:val="center"/>
          </w:tcPr>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w:t>
            </w:r>
            <w:r>
              <w:rPr>
                <w:rFonts w:ascii="楷体_GB2312" w:eastAsia="楷体_GB2312" w:cs="楷体_GB2312"/>
                <w:color w:val="000000" w:themeColor="text1"/>
                <w:sz w:val="20"/>
                <w:szCs w:val="20"/>
                <w14:textFill>
                  <w14:solidFill>
                    <w14:schemeClr w14:val="tx1"/>
                  </w14:solidFill>
                </w14:textFill>
              </w:rPr>
              <w:t>/申购、赎回价格等数据，及时核查认/申购、赎回以及投资资金的支付和到账情况；</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w:t>
            </w:r>
            <w:r>
              <w:rPr>
                <w:rFonts w:ascii="楷体_GB2312" w:eastAsia="楷体_GB2312" w:cs="楷体_GB2312"/>
                <w:color w:val="000000" w:themeColor="text1"/>
                <w:sz w:val="20"/>
                <w:szCs w:val="20"/>
                <w14:textFill>
                  <w14:solidFill>
                    <w14:schemeClr w14:val="tx1"/>
                  </w14:solidFill>
                </w14:textFill>
              </w:rPr>
              <w:t>15</w:t>
            </w:r>
            <w:r>
              <w:rPr>
                <w:rFonts w:hint="eastAsia" w:ascii="楷体_GB2312" w:eastAsia="楷体_GB2312" w:cs="楷体_GB2312"/>
                <w:color w:val="000000" w:themeColor="text1"/>
                <w:sz w:val="20"/>
                <w:szCs w:val="20"/>
                <w14:textFill>
                  <w14:solidFill>
                    <w14:schemeClr w14:val="tx1"/>
                  </w14:solidFill>
                </w14:textFill>
              </w:rPr>
              <w:t>年以上；</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873" w:type="pct"/>
            <w:vAlign w:val="center"/>
          </w:tcPr>
          <w:p>
            <w:pPr>
              <w:pStyle w:val="7"/>
              <w:numPr>
                <w:ilvl w:val="3"/>
                <w:numId w:val="4"/>
              </w:numPr>
              <w:spacing w:line="300" w:lineRule="exact"/>
              <w:ind w:left="206" w:right="36" w:rightChars="15" w:hanging="206"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信银理财将通过【信银理财官方网站（http://www.citic-wealth.com】披露本理财产品的各类信息。</w:t>
            </w:r>
          </w:p>
          <w:p>
            <w:pPr>
              <w:pStyle w:val="7"/>
              <w:numPr>
                <w:ilvl w:val="3"/>
                <w:numId w:val="4"/>
              </w:numPr>
              <w:spacing w:line="300" w:lineRule="exact"/>
              <w:ind w:left="206" w:right="36" w:rightChars="15" w:hanging="206"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】个工作日向投资者发出</w:t>
            </w:r>
            <w:r>
              <w:rPr>
                <w:rFonts w:ascii="楷体_GB2312" w:eastAsia="楷体_GB2312" w:cs="楷体_GB2312"/>
                <w:color w:val="000000" w:themeColor="text1"/>
                <w:sz w:val="20"/>
                <w:szCs w:val="20"/>
                <w14:textFill>
                  <w14:solidFill>
                    <w14:schemeClr w14:val="tx1"/>
                  </w14:solidFill>
                </w14:textFill>
              </w:rPr>
              <w:t>通知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符合监管规定的方式</w:t>
            </w:r>
            <w:r>
              <w:rPr>
                <w:rFonts w:hint="eastAsia" w:ascii="楷体_GB2312" w:eastAsia="楷体_GB2312" w:cs="楷体_GB2312"/>
                <w:color w:val="000000" w:themeColor="text1"/>
                <w:sz w:val="20"/>
                <w:szCs w:val="20"/>
                <w14:textFill>
                  <w14:solidFill>
                    <w14:schemeClr w14:val="tx1"/>
                  </w14:solidFill>
                </w14:textFill>
              </w:rPr>
              <w:t>对说明书条款进行补充、说明和修改，投资者不接受的，可于最近</w:t>
            </w:r>
            <w:r>
              <w:rPr>
                <w:rFonts w:ascii="楷体_GB2312" w:eastAsia="楷体_GB2312" w:cs="楷体_GB2312"/>
                <w:color w:val="000000" w:themeColor="text1"/>
                <w:sz w:val="20"/>
                <w:szCs w:val="20"/>
                <w14:textFill>
                  <w14:solidFill>
                    <w14:schemeClr w14:val="tx1"/>
                  </w14:solidFill>
                </w14:textFill>
              </w:rPr>
              <w:t>一个</w:t>
            </w:r>
            <w:r>
              <w:rPr>
                <w:rFonts w:hint="eastAsia" w:ascii="楷体_GB2312" w:eastAsia="楷体_GB2312" w:cs="楷体_GB2312"/>
                <w:color w:val="000000" w:themeColor="text1"/>
                <w:sz w:val="20"/>
                <w:szCs w:val="20"/>
                <w14:textFill>
                  <w14:solidFill>
                    <w14:schemeClr w14:val="tx1"/>
                  </w14:solidFill>
                </w14:textFill>
              </w:rPr>
              <w:t>开放日赎回理财产品。信银理财有权</w:t>
            </w:r>
            <w:r>
              <w:rPr>
                <w:rFonts w:ascii="楷体_GB2312" w:eastAsia="楷体_GB2312" w:cs="楷体_GB2312"/>
                <w:color w:val="000000" w:themeColor="text1"/>
                <w:sz w:val="20"/>
                <w:szCs w:val="20"/>
                <w14:textFill>
                  <w14:solidFill>
                    <w14:schemeClr w14:val="tx1"/>
                  </w14:solidFill>
                </w14:textFill>
              </w:rPr>
              <w:t>根据情况决定增加临时开放日。</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、监管</w:t>
            </w:r>
            <w:r>
              <w:rPr>
                <w:rFonts w:ascii="楷体_GB2312" w:eastAsia="楷体_GB2312" w:cs="楷体_GB2312"/>
                <w:color w:val="000000" w:themeColor="text1"/>
                <w:sz w:val="20"/>
                <w:szCs w:val="20"/>
                <w14:textFill>
                  <w14:solidFill>
                    <w14:schemeClr w14:val="tx1"/>
                  </w14:solidFill>
                </w14:textFill>
              </w:rPr>
              <w:t>规定</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强制性要求</w:t>
            </w:r>
            <w:r>
              <w:rPr>
                <w:rFonts w:hint="eastAsia" w:ascii="楷体_GB2312" w:eastAsia="楷体_GB2312" w:cs="楷体_GB2312"/>
                <w:color w:val="000000" w:themeColor="text1"/>
                <w:sz w:val="20"/>
                <w:szCs w:val="20"/>
                <w14:textFill>
                  <w14:solidFill>
                    <w14:schemeClr w14:val="tx1"/>
                  </w14:solidFill>
                </w14:textFill>
              </w:rPr>
              <w:t>对产品</w:t>
            </w:r>
            <w:r>
              <w:rPr>
                <w:rFonts w:ascii="楷体_GB2312" w:eastAsia="楷体_GB2312" w:cs="楷体_GB2312"/>
                <w:color w:val="000000" w:themeColor="text1"/>
                <w:sz w:val="20"/>
                <w:szCs w:val="20"/>
                <w14:textFill>
                  <w14:solidFill>
                    <w14:schemeClr w14:val="tx1"/>
                  </w14:solidFill>
                </w14:textFill>
              </w:rPr>
              <w:t>说明书做出修改的，无须</w:t>
            </w:r>
            <w:r>
              <w:rPr>
                <w:rFonts w:hint="eastAsia" w:ascii="楷体_GB2312" w:eastAsia="楷体_GB2312" w:cs="楷体_GB2312"/>
                <w:color w:val="000000" w:themeColor="text1"/>
                <w:sz w:val="20"/>
                <w:szCs w:val="20"/>
                <w14:textFill>
                  <w14:solidFill>
                    <w14:schemeClr w14:val="tx1"/>
                  </w14:solidFill>
                </w14:textFill>
              </w:rPr>
              <w:t>取得</w:t>
            </w:r>
            <w:r>
              <w:rPr>
                <w:rFonts w:ascii="楷体_GB2312" w:eastAsia="楷体_GB2312" w:cs="楷体_GB2312"/>
                <w:color w:val="000000" w:themeColor="text1"/>
                <w:sz w:val="20"/>
                <w:szCs w:val="20"/>
                <w14:textFill>
                  <w14:solidFill>
                    <w14:schemeClr w14:val="tx1"/>
                  </w14:solidFill>
                </w14:textFill>
              </w:rPr>
              <w:t>投资</w:t>
            </w:r>
            <w:r>
              <w:rPr>
                <w:rFonts w:hint="eastAsia" w:ascii="楷体_GB2312" w:eastAsia="楷体_GB2312" w:cs="楷体_GB2312"/>
                <w:color w:val="000000" w:themeColor="text1"/>
                <w:sz w:val="20"/>
                <w:szCs w:val="20"/>
                <w14:textFill>
                  <w14:solidFill>
                    <w14:schemeClr w14:val="tx1"/>
                  </w14:solidFill>
                </w14:textFill>
              </w:rPr>
              <w:t>者</w:t>
            </w:r>
            <w:r>
              <w:rPr>
                <w:rFonts w:ascii="楷体_GB2312" w:eastAsia="楷体_GB2312" w:cs="楷体_GB2312"/>
                <w:color w:val="000000" w:themeColor="text1"/>
                <w:sz w:val="20"/>
                <w:szCs w:val="20"/>
                <w14:textFill>
                  <w14:solidFill>
                    <w14:schemeClr w14:val="tx1"/>
                  </w14:solidFill>
                </w14:textFill>
              </w:rPr>
              <w:t>同意。</w:t>
            </w:r>
          </w:p>
          <w:p>
            <w:pPr>
              <w:pStyle w:val="7"/>
              <w:numPr>
                <w:ilvl w:val="3"/>
                <w:numId w:val="4"/>
              </w:numPr>
              <w:spacing w:line="300" w:lineRule="exact"/>
              <w:ind w:left="206" w:right="36" w:rightChars="15" w:hanging="206"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内向</w:t>
            </w:r>
            <w:r>
              <w:rPr>
                <w:rFonts w:ascii="楷体_GB2312" w:eastAsia="楷体_GB2312" w:cs="楷体_GB2312"/>
                <w:color w:val="000000" w:themeColor="text1"/>
                <w:sz w:val="20"/>
                <w:szCs w:val="20"/>
                <w14:textFill>
                  <w14:solidFill>
                    <w14:schemeClr w14:val="tx1"/>
                  </w14:solidFill>
                </w14:textFill>
              </w:rPr>
              <w:t>投资者发布信息。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w:t>
            </w:r>
            <w:r>
              <w:rPr>
                <w:rFonts w:hint="eastAsia" w:ascii="楷体_GB2312" w:eastAsia="楷体_GB2312" w:cs="楷体_GB2312"/>
                <w:color w:val="000000" w:themeColor="text1"/>
                <w:sz w:val="20"/>
                <w:szCs w:val="20"/>
                <w14:textFill>
                  <w14:solidFill>
                    <w14:schemeClr w14:val="tx1"/>
                  </w14:solidFill>
                </w14:textFill>
              </w:rPr>
              <w:t>结束募集期或</w:t>
            </w:r>
            <w:r>
              <w:rPr>
                <w:rFonts w:ascii="楷体_GB2312" w:eastAsia="楷体_GB2312" w:cs="楷体_GB2312"/>
                <w:color w:val="000000" w:themeColor="text1"/>
                <w:sz w:val="20"/>
                <w:szCs w:val="20"/>
                <w14:textFill>
                  <w14:solidFill>
                    <w14:schemeClr w14:val="tx1"/>
                  </w14:solidFill>
                </w14:textFill>
              </w:rPr>
              <w:t>延长募集期</w:t>
            </w:r>
            <w:r>
              <w:rPr>
                <w:rFonts w:hint="eastAsia" w:ascii="楷体_GB2312" w:eastAsia="楷体_GB2312" w:cs="楷体_GB2312"/>
                <w:color w:val="000000" w:themeColor="text1"/>
                <w:sz w:val="20"/>
                <w:szCs w:val="20"/>
                <w14:textFill>
                  <w14:solidFill>
                    <w14:schemeClr w14:val="tx1"/>
                  </w14:solidFill>
                </w14:textFill>
              </w:rPr>
              <w:t>的，将在</w:t>
            </w:r>
            <w:r>
              <w:rPr>
                <w:rFonts w:ascii="楷体_GB2312" w:eastAsia="楷体_GB2312" w:cs="楷体_GB2312"/>
                <w:color w:val="000000" w:themeColor="text1"/>
                <w:sz w:val="20"/>
                <w:szCs w:val="20"/>
                <w14:textFill>
                  <w14:solidFill>
                    <w14:schemeClr w14:val="tx1"/>
                  </w14:solidFill>
                </w14:textFill>
              </w:rPr>
              <w:t>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w:t>
            </w:r>
            <w:r>
              <w:rPr>
                <w:rFonts w:hint="eastAsia" w:ascii="楷体_GB2312" w:eastAsia="楷体_GB2312" w:cs="楷体_GB2312"/>
                <w:color w:val="000000" w:themeColor="text1"/>
                <w:sz w:val="20"/>
                <w:szCs w:val="20"/>
                <w14:textFill>
                  <w14:solidFill>
                    <w14:schemeClr w14:val="tx1"/>
                  </w14:solidFill>
                </w14:textFill>
              </w:rPr>
              <w:t>投资者发布</w:t>
            </w:r>
            <w:r>
              <w:rPr>
                <w:rFonts w:ascii="楷体_GB2312" w:eastAsia="楷体_GB2312" w:cs="楷体_GB2312"/>
                <w:color w:val="000000" w:themeColor="text1"/>
                <w:sz w:val="20"/>
                <w:szCs w:val="20"/>
                <w14:textFill>
                  <w14:solidFill>
                    <w14:schemeClr w14:val="tx1"/>
                  </w14:solidFill>
                </w14:textFill>
              </w:rPr>
              <w:t>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在本产品成立后【5】</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内披露发行公告。</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产品成立后，</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每个开放日结束后【2】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该开放日的份额净值、份额累计净值、认购/申购价格和赎回价格</w:t>
            </w:r>
            <w:r>
              <w:rPr>
                <w:rFonts w:hint="eastAsia" w:ascii="楷体_GB2312" w:eastAsia="楷体_GB2312" w:cs="楷体_GB2312"/>
                <w:color w:val="000000" w:themeColor="text1"/>
                <w:sz w:val="20"/>
                <w:szCs w:val="20"/>
                <w14:textFill>
                  <w14:solidFill>
                    <w14:schemeClr w14:val="tx1"/>
                  </w14:solidFill>
                </w14:textFill>
              </w:rPr>
              <w:t>。</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w:t>
            </w:r>
            <w:r>
              <w:rPr>
                <w:rFonts w:ascii="楷体_GB2312" w:eastAsia="楷体_GB2312" w:cs="楷体_GB2312"/>
                <w:color w:val="000000" w:themeColor="text1"/>
                <w:sz w:val="20"/>
                <w:szCs w:val="20"/>
                <w14:textFill>
                  <w14:solidFill>
                    <w14:schemeClr w14:val="tx1"/>
                  </w14:solidFill>
                </w14:textFill>
              </w:rPr>
              <w:t>（包括</w:t>
            </w:r>
            <w:r>
              <w:rPr>
                <w:rFonts w:hint="eastAsia" w:ascii="楷体_GB2312" w:eastAsia="楷体_GB2312" w:cs="楷体_GB2312"/>
                <w:color w:val="000000" w:themeColor="text1"/>
                <w:sz w:val="20"/>
                <w:szCs w:val="20"/>
                <w14:textFill>
                  <w14:solidFill>
                    <w14:schemeClr w14:val="tx1"/>
                  </w14:solidFill>
                </w14:textFill>
              </w:rPr>
              <w:t>到期和</w:t>
            </w:r>
            <w:r>
              <w:rPr>
                <w:rFonts w:ascii="楷体_GB2312" w:eastAsia="楷体_GB2312" w:cs="楷体_GB2312"/>
                <w:color w:val="000000" w:themeColor="text1"/>
                <w:sz w:val="20"/>
                <w:szCs w:val="20"/>
                <w14:textFill>
                  <w14:solidFill>
                    <w14:schemeClr w14:val="tx1"/>
                  </w14:solidFill>
                </w14:textFill>
              </w:rPr>
              <w:t>提前终止）</w:t>
            </w:r>
            <w:r>
              <w:rPr>
                <w:rFonts w:hint="eastAsia" w:ascii="楷体_GB2312" w:eastAsia="楷体_GB2312" w:cs="楷体_GB2312"/>
                <w:color w:val="000000" w:themeColor="text1"/>
                <w:sz w:val="20"/>
                <w:szCs w:val="20"/>
                <w14:textFill>
                  <w14:solidFill>
                    <w14:schemeClr w14:val="tx1"/>
                  </w14:solidFill>
                </w14:textFill>
              </w:rPr>
              <w:t>日后【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个工作日内，向投资者披露</w:t>
            </w:r>
            <w:r>
              <w:rPr>
                <w:rFonts w:ascii="楷体_GB2312" w:eastAsia="楷体_GB2312" w:cs="楷体_GB2312"/>
                <w:color w:val="000000" w:themeColor="text1"/>
                <w:sz w:val="20"/>
                <w:szCs w:val="20"/>
                <w14:textFill>
                  <w14:solidFill>
                    <w14:schemeClr w14:val="tx1"/>
                  </w14:solidFill>
                </w14:textFill>
              </w:rPr>
              <w:t>到期公告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到期日产品单位净值在内的</w:t>
            </w:r>
            <w:r>
              <w:rPr>
                <w:rFonts w:hint="eastAsia" w:ascii="楷体_GB2312" w:eastAsia="楷体_GB2312" w:cs="楷体_GB2312"/>
                <w:color w:val="000000" w:themeColor="text1"/>
                <w:sz w:val="20"/>
                <w:szCs w:val="20"/>
                <w14:textFill>
                  <w14:solidFill>
                    <w14:schemeClr w14:val="tx1"/>
                  </w14:solidFill>
                </w14:textFill>
              </w:rPr>
              <w:t>到期相关信息。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在运用收取短期赎回费等措施后，</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在【3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个交易日内告知投资者；在运用暂停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拒绝认/申购、延期办理巨额赎回申请、暂停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拒绝接受赎回申请、延缓支付赎回款项、暂停理财产品估值等措施后，</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个交易日内告知投资者，并说明运用相关措施的原因、拟采取的应对安排等。在发生涉及理财产品认购、赎回事项调整或潜在影响投资者赎回等事项时，及时发布临时公告</w:t>
            </w:r>
            <w:r>
              <w:rPr>
                <w:rFonts w:hint="eastAsia" w:ascii="楷体_GB2312" w:eastAsia="楷体_GB2312" w:cs="楷体_GB2312"/>
                <w:color w:val="000000" w:themeColor="text1"/>
                <w:sz w:val="20"/>
                <w:szCs w:val="20"/>
                <w14:textFill>
                  <w14:solidFill>
                    <w14:schemeClr w14:val="tx1"/>
                  </w14:solidFill>
                </w14:textFill>
              </w:rPr>
              <w:t>。</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2】个工作日</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w:t>
            </w:r>
            <w:r>
              <w:rPr>
                <w:rFonts w:ascii="楷体_GB2312" w:eastAsia="楷体_GB2312" w:cs="楷体_GB2312"/>
                <w:color w:val="000000" w:themeColor="text1"/>
                <w:sz w:val="20"/>
                <w:szCs w:val="20"/>
                <w14:textFill>
                  <w14:solidFill>
                    <w14:schemeClr w14:val="tx1"/>
                  </w14:solidFill>
                </w14:textFill>
              </w:rPr>
              <w:t>存续期间，</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市场情况对投资范围、投资品种或投资比例进行调整</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提前【2】个工作日告知</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val="000000" w:themeColor="text1"/>
                <w:sz w:val="20"/>
                <w:szCs w:val="20"/>
                <w14:textFill>
                  <w14:solidFill>
                    <w14:schemeClr w14:val="tx1"/>
                  </w14:solidFill>
                </w14:textFill>
              </w:rPr>
              <w:t>生效前</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w:t>
            </w:r>
            <w:r>
              <w:rPr>
                <w:rFonts w:hint="eastAsia" w:ascii="楷体_GB2312" w:eastAsia="楷体_GB2312"/>
                <w:color w:val="000000" w:themeColor="text1"/>
                <w:sz w:val="20"/>
                <w:szCs w:val="20"/>
                <w14:textFill>
                  <w14:solidFill>
                    <w14:schemeClr w14:val="tx1"/>
                  </w14:solidFill>
                </w14:textFill>
              </w:rPr>
              <w:t>告知投资者。</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本产品存续期间，如因市场重大变化导致投资比例暂时超出本说明书约定的投资比例区间且可能对理财产品收益产生重大影响的，信银理财将在【</w:t>
            </w:r>
            <w:r>
              <w:rPr>
                <w:rFonts w:ascii="楷体_GB2312" w:hAnsi="Times New Roman" w:eastAsia="楷体_GB2312" w:cs="楷体_GB2312"/>
                <w:color w:val="000000" w:themeColor="text1"/>
                <w:sz w:val="20"/>
                <w:szCs w:val="20"/>
                <w14:textFill>
                  <w14:solidFill>
                    <w14:schemeClr w14:val="tx1"/>
                  </w14:solidFill>
                </w14:textFill>
              </w:rPr>
              <w:t>2</w:t>
            </w:r>
            <w:r>
              <w:rPr>
                <w:rFonts w:hint="eastAsia" w:ascii="楷体_GB2312" w:hAnsi="Times New Roman" w:eastAsia="楷体_GB2312" w:cs="楷体_GB2312"/>
                <w:color w:val="000000" w:themeColor="text1"/>
                <w:sz w:val="20"/>
                <w:szCs w:val="20"/>
                <w14:textFill>
                  <w14:solidFill>
                    <w14:schemeClr w14:val="tx1"/>
                  </w14:solidFill>
                </w14:textFill>
              </w:rPr>
              <w:t>】个工作日内告知投资者。</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将向投资者</w:t>
            </w:r>
            <w:r>
              <w:rPr>
                <w:rFonts w:hint="eastAsia" w:ascii="楷体_GB2312" w:eastAsia="楷体_GB2312" w:cs="楷体_GB2312"/>
                <w:color w:val="000000" w:themeColor="text1"/>
                <w:sz w:val="20"/>
                <w:szCs w:val="20"/>
                <w14:textFill>
                  <w14:solidFill>
                    <w14:schemeClr w14:val="tx1"/>
                  </w14:solidFill>
                </w14:textFill>
              </w:rPr>
              <w:t>发布</w:t>
            </w:r>
            <w:r>
              <w:rPr>
                <w:rFonts w:ascii="楷体_GB2312" w:eastAsia="楷体_GB2312" w:cs="楷体_GB2312"/>
                <w:color w:val="000000" w:themeColor="text1"/>
                <w:sz w:val="20"/>
                <w:szCs w:val="20"/>
                <w14:textFill>
                  <w14:solidFill>
                    <w14:schemeClr w14:val="tx1"/>
                  </w14:solidFill>
                </w14:textFill>
              </w:rPr>
              <w:t>定期报告，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但不限于季度、半年和年度报告。</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半年和年度报告中，</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披露</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产品前10名投资者的类别、持有份额及占总份额的比例等信息。产品存续期间，如出现单一投资者持有产品份额达到或者超过该产品总份额20%的情形，为保障其他投资者的权益，</w:t>
            </w:r>
            <w:r>
              <w:rPr>
                <w:rFonts w:hint="eastAsia" w:ascii="楷体_GB2312" w:eastAsia="楷体_GB2312" w:cs="楷体_GB2312"/>
                <w:color w:val="000000" w:themeColor="text1"/>
                <w:sz w:val="20"/>
                <w:szCs w:val="20"/>
                <w14:textFill>
                  <w14:solidFill>
                    <w14:schemeClr w14:val="tx1"/>
                  </w14:solidFill>
                </w14:textFill>
              </w:rPr>
              <w:t>管理人将</w:t>
            </w:r>
            <w:r>
              <w:rPr>
                <w:rFonts w:ascii="楷体_GB2312" w:eastAsia="楷体_GB2312" w:cs="楷体_GB2312"/>
                <w:color w:val="000000" w:themeColor="text1"/>
                <w:sz w:val="20"/>
                <w:szCs w:val="20"/>
                <w14:textFill>
                  <w14:solidFill>
                    <w14:schemeClr w14:val="tx1"/>
                  </w14:solidFill>
                </w14:textFill>
              </w:rPr>
              <w:t>在定期报告中披露该投资者的类别、持有份额及占比、持有份额变化情况及产品风险等信息，国务院银行业监督管理机构认定的特殊情形除外</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将在理财产品季度、半年和年度报告中披露理财产品组合资产情况及其流动性风险分析等；</w:t>
            </w:r>
            <w:r>
              <w:rPr>
                <w:rFonts w:hint="eastAsia" w:ascii="楷体_GB2312" w:eastAsia="楷体_GB2312" w:cs="楷体_GB2312"/>
                <w:color w:val="000000" w:themeColor="text1"/>
                <w:sz w:val="20"/>
                <w:szCs w:val="20"/>
                <w14:textFill>
                  <w14:solidFill>
                    <w14:schemeClr w14:val="tx1"/>
                  </w14:solidFill>
                </w14:textFill>
              </w:rPr>
              <w:t>理财产品成立不足</w:t>
            </w:r>
            <w:r>
              <w:rPr>
                <w:rFonts w:ascii="楷体_GB2312" w:eastAsia="楷体_GB2312" w:cs="楷体_GB2312"/>
                <w:color w:val="000000" w:themeColor="text1"/>
                <w:sz w:val="20"/>
                <w:szCs w:val="20"/>
                <w14:textFill>
                  <w14:solidFill>
                    <w14:schemeClr w14:val="tx1"/>
                  </w14:solidFill>
                </w14:textFill>
              </w:rPr>
              <w:t>90日或者剩余存续期不超过90日的，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本产品拟投资于主体信用评级低于</w:t>
            </w:r>
            <w:r>
              <w:rPr>
                <w:rFonts w:ascii="楷体_GB2312" w:eastAsia="楷体_GB2312" w:cs="楷体_GB2312"/>
                <w:color w:val="000000" w:themeColor="text1"/>
                <w:sz w:val="20"/>
                <w:szCs w:val="20"/>
                <w14:textFill>
                  <w14:solidFill>
                    <w14:schemeClr w14:val="tx1"/>
                  </w14:solidFill>
                </w14:textFill>
              </w:rPr>
              <w:t>AA+</w:t>
            </w:r>
            <w:r>
              <w:rPr>
                <w:rFonts w:hint="eastAsia" w:ascii="楷体_GB2312" w:eastAsia="楷体_GB2312" w:cs="楷体_GB2312"/>
                <w:color w:val="000000" w:themeColor="text1"/>
                <w:sz w:val="20"/>
                <w:szCs w:val="20"/>
                <w14:textFill>
                  <w14:solidFill>
                    <w14:schemeClr w14:val="tx1"/>
                  </w14:solidFill>
                </w14:textFill>
              </w:rPr>
              <w:t>的商业银行的银行存款与同业存单</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，在履行必要程序后，</w:t>
            </w:r>
            <w:r>
              <w:rPr>
                <w:rFonts w:ascii="楷体_GB2312" w:eastAsia="楷体_GB2312" w:cs="楷体_GB2312"/>
                <w:color w:val="000000" w:themeColor="text1"/>
                <w:sz w:val="20"/>
                <w:szCs w:val="20"/>
                <w14:textFill>
                  <w14:solidFill>
                    <w14:schemeClr w14:val="tx1"/>
                  </w14:solidFill>
                </w14:textFill>
              </w:rPr>
              <w:t>将作为重大事项履行信息披露程序</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left="346" w:right="36" w:rightChars="15" w:hanging="346" w:hangingChars="173"/>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xml:space="preserve">19. </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本理财产品存续期间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获知</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经</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合理判断认为对</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w:t>
            </w:r>
            <w:r>
              <w:rPr>
                <w:rFonts w:ascii="楷体_GB2312" w:eastAsia="楷体_GB2312" w:cs="楷体_GB2312"/>
                <w:color w:val="000000" w:themeColor="text1"/>
                <w:sz w:val="20"/>
                <w:szCs w:val="20"/>
                <w14:textFill>
                  <w14:solidFill>
                    <w14:schemeClr w14:val="tx1"/>
                  </w14:solidFill>
                </w14:textFill>
              </w:rPr>
              <w:t>法律法规、监管规定及时向投资者发布相关信息。</w:t>
            </w:r>
          </w:p>
          <w:p>
            <w:pPr>
              <w:spacing w:line="300" w:lineRule="exact"/>
              <w:ind w:left="346" w:right="36" w:rightChars="15" w:hanging="346" w:hangingChars="173"/>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xml:space="preserve">20. </w:t>
            </w:r>
            <w:r>
              <w:rPr>
                <w:rFonts w:hint="eastAsia" w:ascii="楷体_GB2312" w:eastAsia="楷体_GB2312" w:cs="楷体_GB2312"/>
                <w:color w:val="000000" w:themeColor="text1"/>
                <w:sz w:val="20"/>
                <w:szCs w:val="20"/>
                <w14:textFill>
                  <w14:solidFill>
                    <w14:schemeClr w14:val="tx1"/>
                  </w14:solidFill>
                </w14:textFill>
              </w:rPr>
              <w:t>法律法规、</w:t>
            </w:r>
            <w:r>
              <w:rPr>
                <w:rFonts w:ascii="楷体_GB2312" w:eastAsia="楷体_GB2312" w:cs="楷体_GB2312"/>
                <w:color w:val="000000" w:themeColor="text1"/>
                <w:sz w:val="20"/>
                <w:szCs w:val="20"/>
                <w14:textFill>
                  <w14:solidFill>
                    <w14:schemeClr w14:val="tx1"/>
                  </w14:solidFill>
                </w14:textFill>
              </w:rPr>
              <w:t>规范性文件、</w:t>
            </w:r>
            <w:r>
              <w:rPr>
                <w:rFonts w:hint="eastAsia" w:ascii="楷体_GB2312" w:eastAsia="楷体_GB2312" w:cs="楷体_GB2312"/>
                <w:color w:val="000000" w:themeColor="text1"/>
                <w:sz w:val="20"/>
                <w:szCs w:val="20"/>
                <w14:textFill>
                  <w14:solidFill>
                    <w14:schemeClr w14:val="tx1"/>
                  </w14:solidFill>
                </w14:textFill>
              </w:rPr>
              <w:t>监管政策规定或本说明书约定其他应向投资者进行</w:t>
            </w:r>
            <w:r>
              <w:rPr>
                <w:rFonts w:ascii="楷体_GB2312" w:eastAsia="楷体_GB2312" w:cs="楷体_GB2312"/>
                <w:color w:val="000000" w:themeColor="text1"/>
                <w:sz w:val="20"/>
                <w:szCs w:val="20"/>
                <w14:textFill>
                  <w14:solidFill>
                    <w14:schemeClr w14:val="tx1"/>
                  </w14:solidFill>
                </w14:textFill>
              </w:rPr>
              <w:t>信息</w:t>
            </w:r>
            <w:r>
              <w:rPr>
                <w:rFonts w:hint="eastAsia" w:ascii="楷体_GB2312" w:eastAsia="楷体_GB2312" w:cs="楷体_GB2312"/>
                <w:color w:val="000000" w:themeColor="text1"/>
                <w:sz w:val="20"/>
                <w:szCs w:val="20"/>
                <w14:textFill>
                  <w14:solidFill>
                    <w14:schemeClr w14:val="tx1"/>
                  </w14:solidFill>
                </w14:textFill>
              </w:rPr>
              <w:t>披露的情形</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r>
              <w:rPr>
                <w:rFonts w:hint="eastAsia" w:ascii="楷体_GB2312" w:eastAsia="楷体_GB2312" w:cs="楷体_GB2312"/>
                <w:color w:val="000000" w:themeColor="text1"/>
                <w:sz w:val="20"/>
                <w:szCs w:val="20"/>
                <w14:textFill>
                  <w14:solidFill>
                    <w14:schemeClr w14:val="tx1"/>
                  </w14:solidFill>
                </w14:textFill>
              </w:rPr>
              <w:t>。</w:t>
            </w:r>
          </w:p>
        </w:tc>
      </w:tr>
    </w:tbl>
    <w:p>
      <w:pPr>
        <w:snapToGrid w:val="0"/>
        <w:ind w:left="-2" w:leftChars="-1" w:right="53" w:rightChars="22"/>
        <w:outlineLvl w:val="0"/>
        <w:rPr>
          <w:rFonts w:ascii="黑体" w:hAnsi="Times New Roman" w:eastAsia="黑体" w:cs="黑体"/>
          <w:color w:val="000000" w:themeColor="text1"/>
          <w:sz w:val="20"/>
          <w:szCs w:val="20"/>
          <w14:textFill>
            <w14:solidFill>
              <w14:schemeClr w14:val="tx1"/>
            </w14:solidFill>
          </w14:textFill>
        </w:rPr>
      </w:pPr>
    </w:p>
    <w:p>
      <w:pPr>
        <w:pStyle w:val="7"/>
        <w:numPr>
          <w:ilvl w:val="0"/>
          <w:numId w:val="5"/>
        </w:numPr>
        <w:snapToGrid w:val="0"/>
        <w:ind w:right="53" w:rightChars="22" w:firstLineChars="0"/>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理财产品管理人</w:t>
      </w:r>
    </w:p>
    <w:p>
      <w:pPr>
        <w:pStyle w:val="7"/>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pPr>
        <w:pStyle w:val="7"/>
        <w:numPr>
          <w:ilvl w:val="0"/>
          <w:numId w:val="6"/>
        </w:numPr>
        <w:spacing w:line="300" w:lineRule="exact"/>
        <w:ind w:left="754" w:hanging="357"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pPr>
        <w:pStyle w:val="7"/>
        <w:numPr>
          <w:ilvl w:val="0"/>
          <w:numId w:val="6"/>
        </w:numPr>
        <w:spacing w:line="300" w:lineRule="exact"/>
        <w:ind w:left="754" w:hanging="357"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pPr>
        <w:pStyle w:val="7"/>
        <w:numPr>
          <w:ilvl w:val="0"/>
          <w:numId w:val="6"/>
        </w:numPr>
        <w:spacing w:line="300" w:lineRule="exact"/>
        <w:ind w:left="754" w:hanging="357"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w:t>
      </w:r>
      <w:r>
        <w:rPr>
          <w:rFonts w:ascii="Times New Roman" w:hAnsi="Times New Roman" w:eastAsia="楷体_GB2312" w:cs="楷体_GB2312"/>
          <w:b/>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企业等各类投资对象行使出资人</w:t>
      </w:r>
      <w:r>
        <w:rPr>
          <w:rFonts w:ascii="Times New Roman" w:hAnsi="Times New Roman" w:eastAsia="楷体_GB2312" w:cs="楷体_GB2312"/>
          <w:b/>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投资者权利（包括但不限于表决投票的权利）以及行使因理财产品财产投资于证券类基础资产（含债券、股票等）或其他基础资产（包括但不限于债权类资产）所产生的相关权利；</w:t>
      </w:r>
    </w:p>
    <w:p>
      <w:pPr>
        <w:pStyle w:val="7"/>
        <w:numPr>
          <w:ilvl w:val="0"/>
          <w:numId w:val="6"/>
        </w:numPr>
        <w:spacing w:line="300" w:lineRule="exact"/>
        <w:ind w:left="754" w:hanging="357"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w:t>
      </w:r>
      <w:r>
        <w:rPr>
          <w:rFonts w:ascii="Times New Roman" w:hAnsi="Times New Roman" w:eastAsia="楷体_GB2312"/>
          <w:b/>
          <w:color w:val="000000" w:themeColor="text1"/>
          <w:sz w:val="20"/>
          <w:szCs w:val="20"/>
          <w14:textFill>
            <w14:solidFill>
              <w14:schemeClr w14:val="tx1"/>
            </w14:solidFill>
          </w14:textFill>
        </w:rPr>
        <w:t>/</w:t>
      </w:r>
      <w:r>
        <w:rPr>
          <w:rFonts w:hint="eastAsia" w:ascii="Times New Roman" w:hAnsi="Times New Roman" w:eastAsia="楷体_GB2312"/>
          <w:b/>
          <w:color w:val="000000" w:themeColor="text1"/>
          <w:sz w:val="20"/>
          <w:szCs w:val="20"/>
          <w14:textFill>
            <w14:solidFill>
              <w14:schemeClr w14:val="tx1"/>
            </w14:solidFill>
          </w14:textFill>
        </w:rPr>
        <w:t>仲裁、申请保全</w:t>
      </w:r>
      <w:r>
        <w:rPr>
          <w:rFonts w:ascii="Times New Roman" w:hAnsi="Times New Roman" w:eastAsia="楷体_GB2312"/>
          <w:b/>
          <w:color w:val="000000" w:themeColor="text1"/>
          <w:sz w:val="20"/>
          <w:szCs w:val="20"/>
          <w14:textFill>
            <w14:solidFill>
              <w14:schemeClr w14:val="tx1"/>
            </w14:solidFill>
          </w14:textFill>
        </w:rPr>
        <w:t>/</w:t>
      </w:r>
      <w:r>
        <w:rPr>
          <w:rFonts w:hint="eastAsia" w:ascii="Times New Roman" w:hAnsi="Times New Roman" w:eastAsia="楷体_GB2312"/>
          <w:b/>
          <w:color w:val="000000" w:themeColor="text1"/>
          <w:sz w:val="20"/>
          <w:szCs w:val="20"/>
          <w14:textFill>
            <w14:solidFill>
              <w14:schemeClr w14:val="tx1"/>
            </w14:solidFill>
          </w14:textFill>
        </w:rPr>
        <w:t>执行的权利）或者实施风险处置，行使、放弃、变更相关权利义务等其他法律行为，产生的合理费用由理财产品承担；</w:t>
      </w:r>
    </w:p>
    <w:p>
      <w:pPr>
        <w:pStyle w:val="7"/>
        <w:numPr>
          <w:ilvl w:val="0"/>
          <w:numId w:val="6"/>
        </w:numPr>
        <w:spacing w:line="300" w:lineRule="exact"/>
        <w:ind w:left="754" w:hanging="357"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pPr>
        <w:pStyle w:val="7"/>
        <w:numPr>
          <w:ilvl w:val="0"/>
          <w:numId w:val="6"/>
        </w:numPr>
        <w:spacing w:line="300" w:lineRule="exact"/>
        <w:ind w:left="754" w:hanging="357"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pPr>
        <w:pStyle w:val="7"/>
        <w:numPr>
          <w:ilvl w:val="0"/>
          <w:numId w:val="6"/>
        </w:numPr>
        <w:spacing w:line="300" w:lineRule="exact"/>
        <w:ind w:left="754" w:hanging="357"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pPr>
        <w:snapToGrid w:val="0"/>
        <w:spacing w:line="300" w:lineRule="exact"/>
        <w:ind w:left="-2" w:leftChars="-1" w:right="53" w:rightChars="22" w:firstLine="400" w:firstLineChars="200"/>
        <w:outlineLvl w:val="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四、理财产品的认购、申购</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份额确认日后投资者可向销售</w:t>
      </w:r>
      <w:r>
        <w:rPr>
          <w:rFonts w:hint="eastAsia" w:ascii="楷体_GB2312" w:eastAsia="楷体_GB2312" w:cs="楷体_GB2312"/>
          <w:color w:val="000000" w:themeColor="text1"/>
          <w:sz w:val="20"/>
          <w:szCs w:val="20"/>
          <w14:textFill>
            <w14:solidFill>
              <w14:schemeClr w14:val="tx1"/>
            </w14:solidFill>
          </w14:textFill>
        </w:rPr>
        <w:t>机构</w:t>
      </w:r>
      <w:r>
        <w:rPr>
          <w:rFonts w:ascii="楷体_GB2312" w:eastAsia="楷体_GB2312" w:cs="楷体_GB2312"/>
          <w:color w:val="000000" w:themeColor="text1"/>
          <w:sz w:val="20"/>
          <w:szCs w:val="20"/>
          <w14:textFill>
            <w14:solidFill>
              <w14:schemeClr w14:val="tx1"/>
            </w14:solidFill>
          </w14:textFill>
        </w:rPr>
        <w:t>查询认购是否成功。</w:t>
      </w:r>
    </w:p>
    <w:p>
      <w:pPr>
        <w:spacing w:line="300" w:lineRule="exact"/>
        <w:ind w:left="-2" w:leftChars="-1"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w:t>
      </w:r>
      <w:r>
        <w:rPr>
          <w:rFonts w:ascii="楷体_GB2312" w:eastAsia="楷体_GB2312" w:cs="楷体_GB2312"/>
          <w:color w:val="000000" w:themeColor="text1"/>
          <w:sz w:val="20"/>
          <w:szCs w:val="20"/>
          <w14:textFill>
            <w14:solidFill>
              <w14:schemeClr w14:val="tx1"/>
            </w14:solidFill>
          </w14:textFill>
        </w:rPr>
        <w:t>交易时间提交的申购申请将于下一个申购开放日正式受理</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代销机构有另行规定的，以代销机构的规定为准。本产品按金额申购，按【</w:t>
      </w:r>
      <w:r>
        <w:rPr>
          <w:rFonts w:hint="eastAsia" w:ascii="楷体_GB2312" w:eastAsia="楷体_GB2312" w:cs="楷体_GB2312"/>
          <w:color w:val="000000" w:themeColor="text1"/>
          <w:sz w:val="20"/>
          <w:szCs w:val="20"/>
          <w14:textFill>
            <w14:solidFill>
              <w14:schemeClr w14:val="tx1"/>
            </w14:solidFill>
          </w14:textFill>
        </w:rPr>
        <w:t>申购开放日</w:t>
      </w:r>
      <w:r>
        <w:rPr>
          <w:rFonts w:ascii="楷体_GB2312" w:eastAsia="楷体_GB2312" w:cs="楷体_GB2312"/>
          <w:color w:val="000000" w:themeColor="text1"/>
          <w:sz w:val="20"/>
          <w:szCs w:val="20"/>
          <w14:textFill>
            <w14:solidFill>
              <w14:schemeClr w14:val="tx1"/>
            </w14:solidFill>
          </w14:textFill>
        </w:rPr>
        <w:t>】日的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500万元申购本产品，申购费率为0%，则投资者获得的申购份额=5,000,000.00×（1-0%）/1.00=5,000,000.00份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left="-2" w:leftChars="-1"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pPr>
        <w:spacing w:line="300" w:lineRule="exact"/>
        <w:ind w:left="-2" w:leftChars="-1"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pPr>
        <w:spacing w:line="300" w:lineRule="exact"/>
        <w:ind w:left="-2" w:leftChars="-1"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．本产品按份额赎回，B</w:t>
      </w:r>
      <w:r>
        <w:rPr>
          <w:rFonts w:ascii="楷体_GB2312" w:eastAsia="楷体_GB2312" w:cs="楷体_GB2312"/>
          <w:color w:val="000000" w:themeColor="text1"/>
          <w:sz w:val="20"/>
          <w:szCs w:val="20"/>
          <w14:textFill>
            <w14:solidFill>
              <w14:schemeClr w14:val="tx1"/>
            </w14:solidFill>
          </w14:textFill>
        </w:rPr>
        <w:t>类份额单次最低赎回份额为【0.01】</w:t>
      </w:r>
      <w:r>
        <w:rPr>
          <w:rFonts w:hint="eastAsia" w:ascii="楷体_GB2312" w:eastAsia="楷体_GB2312" w:cs="楷体_GB2312"/>
          <w:color w:val="000000" w:themeColor="text1"/>
          <w:sz w:val="20"/>
          <w:szCs w:val="20"/>
          <w14:textFill>
            <w14:solidFill>
              <w14:schemeClr w14:val="tx1"/>
            </w14:solidFill>
          </w14:textFill>
        </w:rPr>
        <w:t>份，M</w:t>
      </w:r>
      <w:r>
        <w:rPr>
          <w:rFonts w:ascii="楷体_GB2312" w:eastAsia="楷体_GB2312" w:cs="楷体_GB2312"/>
          <w:color w:val="000000" w:themeColor="text1"/>
          <w:sz w:val="20"/>
          <w:szCs w:val="20"/>
          <w14:textFill>
            <w14:solidFill>
              <w14:schemeClr w14:val="tx1"/>
            </w14:solidFill>
          </w14:textFill>
        </w:rPr>
        <w:t>类份额单次最低赎回份额为【0.01】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G类份额单次最低赎回份额为【0.01】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H类份额单次最低赎回份额为【0.01】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L类份额单次最低赎回份额为【0.01】</w:t>
      </w:r>
      <w:r>
        <w:rPr>
          <w:rFonts w:hint="eastAsia" w:ascii="楷体_GB2312" w:eastAsia="楷体_GB2312" w:cs="楷体_GB2312"/>
          <w:color w:val="000000" w:themeColor="text1"/>
          <w:sz w:val="20"/>
          <w:szCs w:val="20"/>
          <w14:textFill>
            <w14:solidFill>
              <w14:schemeClr w14:val="tx1"/>
            </w14:solidFill>
          </w14:textFill>
        </w:rPr>
        <w:t>份。</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赎回份额×1</w:t>
      </w:r>
      <w:r>
        <w:rPr>
          <w:rFonts w:ascii="楷体_GB2312" w:eastAsia="楷体_GB2312" w:cs="楷体_GB2312"/>
          <w:color w:val="000000" w:themeColor="text1"/>
          <w:sz w:val="20"/>
          <w:szCs w:val="20"/>
          <w14:textFill>
            <w14:solidFill>
              <w14:schemeClr w14:val="tx1"/>
            </w14:solidFill>
          </w14:textFill>
        </w:rPr>
        <w:t>.00</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p>
    <w:p>
      <w:pPr>
        <w:spacing w:line="300" w:lineRule="exact"/>
        <w:ind w:left="-2" w:leftChars="-1"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例如，【某开放日投资者成功赎回所持有</w:t>
      </w:r>
      <w:r>
        <w:rPr>
          <w:rFonts w:ascii="楷体_GB2312" w:eastAsia="楷体_GB2312" w:cs="楷体_GB2312"/>
          <w:color w:val="000000" w:themeColor="text1"/>
          <w:sz w:val="20"/>
          <w:szCs w:val="20"/>
          <w14:textFill>
            <w14:solidFill>
              <w14:schemeClr w14:val="tx1"/>
            </w14:solidFill>
          </w14:textFill>
        </w:rPr>
        <w:t>500万份本产品份额，赎回费率为0%</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无浮动管理费，则投资者获得的赎回金额=5,000,000.00×1.00×（1-0%）=5,000,000.00元】</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当理财产品份额全部被赎回时，为保证投资者利益，管理人有权调整单位净值小数点取位规则。</w:t>
      </w:r>
    </w:p>
    <w:p>
      <w:pPr>
        <w:spacing w:line="300" w:lineRule="exact"/>
        <w:ind w:left="-2" w:leftChars="-1"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sz w:val="20"/>
          <w:szCs w:val="20"/>
        </w:rPr>
        <w:t>赎回申请正式受理的开放日后第一个工作</w:t>
      </w:r>
      <w:r>
        <w:rPr>
          <w:rFonts w:hint="eastAsia" w:ascii="楷体_GB2312" w:eastAsia="楷体_GB2312"/>
          <w:color w:val="000000" w:themeColor="text1"/>
          <w:sz w:val="20"/>
          <w:szCs w:val="20"/>
          <w14:textFill>
            <w14:solidFill>
              <w14:schemeClr w14:val="tx1"/>
            </w14:solidFill>
          </w14:textFill>
        </w:rPr>
        <w:t>日】即为赎回确认日，赎回份额确认日后投资者可向产品销售机构查询赎回是否成功。管理人按照</w:t>
      </w:r>
      <w:r>
        <w:rPr>
          <w:rFonts w:ascii="楷体_GB2312" w:eastAsia="楷体_GB2312"/>
          <w:color w:val="000000" w:themeColor="text1"/>
          <w:sz w:val="20"/>
          <w:szCs w:val="20"/>
          <w14:textFill>
            <w14:solidFill>
              <w14:schemeClr w14:val="tx1"/>
            </w14:solidFill>
          </w14:textFill>
        </w:rPr>
        <w:t>【“后进先出”的原则处理投资者持有份额的赎回，即份额注册日期在后的份额先赎回，份额注册日期在前的份额后赎回】。</w:t>
      </w:r>
      <w:r>
        <w:rPr>
          <w:rFonts w:hint="eastAsia" w:ascii="楷体_GB2312" w:eastAsia="楷体_GB2312"/>
          <w:color w:val="000000" w:themeColor="text1"/>
          <w:sz w:val="20"/>
          <w:szCs w:val="20"/>
          <w14:textFill>
            <w14:solidFill>
              <w14:schemeClr w14:val="tx1"/>
            </w14:solidFill>
          </w14:textFill>
        </w:rPr>
        <w:t>当日交易</w:t>
      </w:r>
      <w:r>
        <w:rPr>
          <w:rFonts w:ascii="楷体_GB2312" w:eastAsia="楷体_GB2312"/>
          <w:color w:val="000000" w:themeColor="text1"/>
          <w:sz w:val="20"/>
          <w:szCs w:val="20"/>
          <w14:textFill>
            <w14:solidFill>
              <w14:schemeClr w14:val="tx1"/>
            </w14:solidFill>
          </w14:textFill>
        </w:rPr>
        <w:t>时间内提交</w:t>
      </w:r>
      <w:r>
        <w:rPr>
          <w:rFonts w:hint="eastAsia" w:ascii="楷体_GB2312" w:eastAsia="楷体_GB2312"/>
          <w:color w:val="000000" w:themeColor="text1"/>
          <w:sz w:val="20"/>
          <w:szCs w:val="20"/>
          <w14:textFill>
            <w14:solidFill>
              <w14:schemeClr w14:val="tx1"/>
            </w14:solidFill>
          </w14:textFill>
        </w:rPr>
        <w:t>且有效的赎回申请</w:t>
      </w:r>
      <w:r>
        <w:rPr>
          <w:rFonts w:ascii="楷体_GB2312" w:eastAsia="楷体_GB2312"/>
          <w:color w:val="000000" w:themeColor="text1"/>
          <w:sz w:val="20"/>
          <w:szCs w:val="20"/>
          <w14:textFill>
            <w14:solidFill>
              <w14:schemeClr w14:val="tx1"/>
            </w14:solidFill>
          </w14:textFill>
        </w:rPr>
        <w:t>对应</w:t>
      </w:r>
      <w:r>
        <w:rPr>
          <w:rFonts w:hint="eastAsia" w:ascii="楷体_GB2312" w:eastAsia="楷体_GB2312"/>
          <w:color w:val="000000" w:themeColor="text1"/>
          <w:sz w:val="20"/>
          <w:szCs w:val="20"/>
          <w14:textFill>
            <w14:solidFill>
              <w14:schemeClr w14:val="tx1"/>
            </w14:solidFill>
          </w14:textFill>
        </w:rPr>
        <w:t>的份额自下一个交易日起不享有分配权益，国务院银行业监督管理机构认定的特殊现金管理类产品除外。</w:t>
      </w:r>
    </w:p>
    <w:p>
      <w:pPr>
        <w:spacing w:line="300" w:lineRule="exact"/>
        <w:ind w:left="-2" w:leftChars="-1"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pPr>
        <w:spacing w:line="300" w:lineRule="exact"/>
        <w:ind w:left="-2" w:firstLine="428"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w:t>
      </w:r>
      <w:r>
        <w:rPr>
          <w:rFonts w:ascii="楷体_GB2312" w:eastAsia="楷体_GB2312" w:cs="楷体_GB2312"/>
          <w:color w:val="000000" w:themeColor="text1"/>
          <w:sz w:val="20"/>
          <w:szCs w:val="20"/>
          <w14:textFill>
            <w14:solidFill>
              <w14:schemeClr w14:val="tx1"/>
            </w14:solidFill>
          </w14:textFill>
        </w:rPr>
        <w:t>将在该开放日后【2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个工作日内支付赎回款项，</w:t>
      </w:r>
      <w:r>
        <w:rPr>
          <w:rFonts w:hint="eastAsia" w:ascii="楷体_GB2312" w:eastAsia="楷体_GB2312" w:cs="楷体_GB2312"/>
          <w:color w:val="000000" w:themeColor="text1"/>
          <w:sz w:val="20"/>
          <w:szCs w:val="20"/>
          <w14:textFill>
            <w14:solidFill>
              <w14:schemeClr w14:val="tx1"/>
            </w14:solidFill>
          </w14:textFill>
        </w:rPr>
        <w:t>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本说明书另有</w:t>
      </w:r>
      <w:r>
        <w:rPr>
          <w:rFonts w:hint="eastAsia" w:ascii="楷体_GB2312" w:eastAsia="楷体_GB2312"/>
          <w:color w:val="000000" w:themeColor="text1"/>
          <w:sz w:val="20"/>
          <w:szCs w:val="20"/>
          <w14:textFill>
            <w14:solidFill>
              <w14:schemeClr w14:val="tx1"/>
            </w14:solidFill>
          </w14:textFill>
        </w:rPr>
        <w:t>限制性约定</w:t>
      </w:r>
      <w:r>
        <w:rPr>
          <w:rFonts w:ascii="楷体_GB2312" w:eastAsia="楷体_GB2312"/>
          <w:color w:val="000000" w:themeColor="text1"/>
          <w:sz w:val="20"/>
          <w:szCs w:val="20"/>
          <w14:textFill>
            <w14:solidFill>
              <w14:schemeClr w14:val="tx1"/>
            </w14:solidFill>
          </w14:textFill>
        </w:rPr>
        <w:t>的除外。</w:t>
      </w:r>
    </w:p>
    <w:p>
      <w:pPr>
        <w:spacing w:line="300" w:lineRule="exact"/>
        <w:ind w:left="-2" w:firstLine="428"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7．本产品支持“快速赎回”增值服务。单个投资者在单个销售机构持有的本产品单个自然日的赎回金额上限为【1万元】，即单个投资者在单个销售机构针对本产品在当日交易时间内提交的有效赎回申请在当日可取得的赎回金额上限为【1万元】。</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8．管理人保留不接受赎回申请的权利。</w:t>
      </w:r>
    </w:p>
    <w:p>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等方式，作为本理财产品流动性风险管理的辅助措施。</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在巨额赎回情况下，对于超过本产品上一日终存续总份额【10%】以上的赎回申请，管理人有权全部或部分暂停接受或延期办理。</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本产品连续【2】个以上开放日（含）发生巨额赎回，管理人有权暂停接受投资者的申购和赎回申请、延期办理巨额赎回申请等。投资者根据管理人披露的开放日可重新进行申购和赎回。对于已经接受的赎回申请，管理人还可以延缓支付赎回款项，但延缓期限不得超过20个工作日。</w:t>
      </w:r>
    </w:p>
    <w:p>
      <w:pPr>
        <w:spacing w:line="300" w:lineRule="exact"/>
        <w:ind w:right="36" w:rightChars="15" w:firstLine="426" w:firstLineChars="213"/>
        <w:rPr>
          <w:rFonts w:ascii="楷体_GB2312" w:eastAsia="楷体_GB2312"/>
          <w:color w:val="000000" w:themeColor="text1"/>
          <w:sz w:val="20"/>
          <w:szCs w:val="20"/>
          <w14:textFill>
            <w14:solidFill>
              <w14:schemeClr w14:val="tx1"/>
            </w14:solidFill>
          </w14:textFill>
        </w:rPr>
      </w:pPr>
    </w:p>
    <w:p>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以及国务院银行业监督管理机构规定的其他措施。</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申购可能对理财产品业绩产生影响；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w:t>
      </w:r>
      <w:r>
        <w:rPr>
          <w:rFonts w:ascii="楷体_GB2312" w:eastAsia="楷体_GB2312" w:cs="楷体_GB2312"/>
          <w:color w:val="000000" w:themeColor="text1"/>
          <w:sz w:val="20"/>
          <w:szCs w:val="20"/>
          <w14:textFill>
            <w14:solidFill>
              <w14:schemeClr w14:val="tx1"/>
            </w14:solidFill>
          </w14:textFill>
        </w:rPr>
        <w:t>/申</w:t>
      </w:r>
      <w:r>
        <w:rPr>
          <w:rFonts w:hint="eastAsia" w:ascii="楷体_GB2312" w:eastAsia="楷体_GB2312" w:cs="楷体_GB2312"/>
          <w:color w:val="000000" w:themeColor="text1"/>
          <w:sz w:val="20"/>
          <w:szCs w:val="20"/>
          <w14:textFill>
            <w14:solidFill>
              <w14:schemeClr w14:val="tx1"/>
            </w14:solidFill>
          </w14:textFill>
        </w:rPr>
        <w:t>购金额将导致单笔认</w:t>
      </w:r>
      <w:r>
        <w:rPr>
          <w:rFonts w:ascii="楷体_GB2312" w:eastAsia="楷体_GB2312" w:cs="楷体_GB2312"/>
          <w:color w:val="000000" w:themeColor="text1"/>
          <w:sz w:val="20"/>
          <w:szCs w:val="20"/>
          <w14:textFill>
            <w14:solidFill>
              <w14:schemeClr w14:val="tx1"/>
            </w14:solidFill>
          </w14:textFill>
        </w:rPr>
        <w:t>/申</w:t>
      </w:r>
      <w:r>
        <w:rPr>
          <w:rFonts w:hint="eastAsia" w:ascii="楷体_GB2312" w:eastAsia="楷体_GB2312" w:cs="楷体_GB2312"/>
          <w:color w:val="000000" w:themeColor="text1"/>
          <w:sz w:val="20"/>
          <w:szCs w:val="20"/>
          <w14:textFill>
            <w14:solidFill>
              <w14:schemeClr w14:val="tx1"/>
            </w14:solidFill>
          </w14:textFill>
        </w:rPr>
        <w:t>购金额上限、单个投资者持仓上限、计划募集金额上限、产品规模上限等各指标超限时，或单笔认</w:t>
      </w:r>
      <w:r>
        <w:rPr>
          <w:rFonts w:ascii="楷体_GB2312" w:eastAsia="楷体_GB2312" w:cs="楷体_GB2312"/>
          <w:color w:val="000000" w:themeColor="text1"/>
          <w:sz w:val="20"/>
          <w:szCs w:val="20"/>
          <w14:textFill>
            <w14:solidFill>
              <w14:schemeClr w14:val="tx1"/>
            </w14:solidFill>
          </w14:textFill>
        </w:rPr>
        <w:t>/申购金额不足认/申购金额起点金额时，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w:t>
      </w:r>
      <w:r>
        <w:rPr>
          <w:rFonts w:ascii="楷体_GB2312" w:eastAsia="楷体_GB2312" w:cs="楷体_GB2312"/>
          <w:color w:val="000000" w:themeColor="text1"/>
          <w:sz w:val="20"/>
          <w:szCs w:val="20"/>
          <w14:textFill>
            <w14:solidFill>
              <w14:schemeClr w14:val="tx1"/>
            </w14:solidFill>
          </w14:textFill>
        </w:rPr>
        <w:t>/申</w:t>
      </w:r>
      <w:r>
        <w:rPr>
          <w:rFonts w:hint="eastAsia" w:ascii="楷体_GB2312" w:eastAsia="楷体_GB2312" w:cs="楷体_GB2312"/>
          <w:color w:val="000000" w:themeColor="text1"/>
          <w:sz w:val="20"/>
          <w:szCs w:val="20"/>
          <w14:textFill>
            <w14:solidFill>
              <w14:schemeClr w14:val="tx1"/>
            </w14:solidFill>
          </w14:textFill>
        </w:rPr>
        <w:t>购申请；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影子定价确定的产品资产净值与摊余成本法计算的资产净值正偏离度绝对值达到</w:t>
      </w:r>
      <w:r>
        <w:rPr>
          <w:rFonts w:ascii="楷体_GB2312" w:eastAsia="楷体_GB2312" w:cs="楷体_GB2312"/>
          <w:color w:val="000000" w:themeColor="text1"/>
          <w:sz w:val="20"/>
          <w:szCs w:val="20"/>
          <w14:textFill>
            <w14:solidFill>
              <w14:schemeClr w14:val="tx1"/>
            </w14:solidFill>
          </w14:textFill>
        </w:rPr>
        <w:t>0.5%</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pPr>
        <w:spacing w:line="300" w:lineRule="exact"/>
        <w:ind w:firstLine="568" w:firstLineChars="284"/>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pPr>
        <w:spacing w:line="300" w:lineRule="exact"/>
        <w:ind w:firstLine="400"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）当影子定价确定的产品资产净值与摊余成本法计算的资产净值</w:t>
      </w:r>
      <w:r>
        <w:rPr>
          <w:rFonts w:ascii="楷体_GB2312" w:eastAsia="楷体_GB2312" w:cs="楷体_GB2312"/>
          <w:color w:val="000000" w:themeColor="text1"/>
          <w:sz w:val="20"/>
          <w:szCs w:val="20"/>
          <w14:textFill>
            <w14:solidFill>
              <w14:schemeClr w14:val="tx1"/>
            </w14:solidFill>
          </w14:textFill>
        </w:rPr>
        <w:t>负偏离度绝对值连续两个交易日超过0.5%时</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hAnsi="楷体" w:eastAsia="楷体_GB2312"/>
          <w:color w:val="000000"/>
          <w:sz w:val="20"/>
          <w:szCs w:val="20"/>
        </w:rPr>
        <w:t>4</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hAnsi="Times New Roman" w:eastAsia="楷体_GB2312" w:cs="楷体_GB2312"/>
          <w:color w:val="000000" w:themeColor="text1"/>
          <w:sz w:val="20"/>
          <w:szCs w:val="20"/>
          <w14:textFill>
            <w14:solidFill>
              <w14:schemeClr w14:val="tx1"/>
            </w14:solidFill>
          </w14:textFill>
        </w:rPr>
        <w:t>当本产品前10名投资者的持有份额合计超过该产品总份额50%的，投资组合中现金、国债、中央银行票据、政策性金融债券以及5个交易日内到期的其他金融工具占该产品资产净值的比例合计低于10%且偏离度为负时，管理人将对投资者超过该产品总份额1%以上的赎回申请征收1%的强制赎回费用。</w:t>
      </w:r>
      <w:r>
        <w:rPr>
          <w:rFonts w:hint="eastAsia" w:ascii="楷体_GB2312" w:eastAsia="楷体_GB2312" w:cs="楷体_GB2312"/>
          <w:color w:val="000000" w:themeColor="text1"/>
          <w:sz w:val="20"/>
          <w:szCs w:val="20"/>
          <w14:textFill>
            <w14:solidFill>
              <w14:schemeClr w14:val="tx1"/>
            </w14:solidFill>
          </w14:textFill>
        </w:rPr>
        <w:t>上述赎回费用全额计入本产品财产。</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．当本产品持有的现金、国债、中央银行票据、政策性金融债券以及</w:t>
      </w:r>
      <w:r>
        <w:rPr>
          <w:rFonts w:ascii="楷体_GB2312" w:eastAsia="楷体_GB2312" w:cs="楷体_GB2312"/>
          <w:color w:val="000000" w:themeColor="text1"/>
          <w:sz w:val="20"/>
          <w:szCs w:val="20"/>
          <w14:textFill>
            <w14:solidFill>
              <w14:schemeClr w14:val="tx1"/>
            </w14:solidFill>
          </w14:textFill>
        </w:rPr>
        <w:t>5个交易日内到期的其他金融工具占本产品资产净值的比例合计低于5%且偏离度为负时，管理人</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对当日投资者申请赎回份额超过本产品总份额1%以上的赎回申请征收1%的强制赎回费用，上述赎回费用全额计入本产品财产。但管理人与托管机构协商确认上述做法无益于本产品利益最大化的情形除外。</w:t>
      </w:r>
    </w:p>
    <w:p>
      <w:pPr>
        <w:spacing w:line="300" w:lineRule="exact"/>
        <w:ind w:right="96" w:rightChars="4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pPr>
        <w:numPr>
          <w:ilvl w:val="0"/>
          <w:numId w:val="7"/>
        </w:numPr>
        <w:spacing w:line="300" w:lineRule="exact"/>
        <w:ind w:left="0" w:right="96" w:rightChars="40" w:firstLine="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pPr>
        <w:spacing w:line="300" w:lineRule="exact"/>
        <w:ind w:firstLine="400" w:firstLineChars="200"/>
        <w:jc w:val="both"/>
        <w:rPr>
          <w:rFonts w:ascii="楷体_GB2312"/>
          <w:sz w:val="20"/>
        </w:rPr>
      </w:pPr>
      <w:r>
        <w:rPr>
          <w:rFonts w:ascii="楷体_GB2312"/>
          <w:sz w:val="20"/>
        </w:rPr>
        <w:t>1</w:t>
      </w:r>
      <w:r>
        <w:rPr>
          <w:rFonts w:hint="eastAsia" w:ascii="楷体_GB2312"/>
          <w:sz w:val="20"/>
        </w:rPr>
        <w:t>．</w:t>
      </w:r>
      <w:r>
        <w:rPr>
          <w:rFonts w:ascii="楷体_GB2312" w:eastAsia="楷体_GB2312"/>
          <w:color w:val="000000" w:themeColor="text1"/>
          <w:sz w:val="20"/>
          <w:szCs w:val="20"/>
          <w:u w:val="single"/>
          <w14:textFill>
            <w14:solidFill>
              <w14:schemeClr w14:val="tx1"/>
            </w14:solidFill>
          </w14:textFill>
        </w:rPr>
        <w:t>本产品存续期间理财收益的分配方式：</w:t>
      </w:r>
      <w:r>
        <w:rPr>
          <w:rFonts w:hint="eastAsia" w:ascii="楷体_GB2312" w:eastAsia="楷体_GB2312"/>
          <w:color w:val="000000" w:themeColor="text1"/>
          <w:sz w:val="20"/>
          <w:szCs w:val="20"/>
          <w:u w:val="single"/>
          <w14:textFill>
            <w14:solidFill>
              <w14:schemeClr w14:val="tx1"/>
            </w14:solidFill>
          </w14:textFill>
        </w:rPr>
        <w:t>【红利再投资】</w:t>
      </w:r>
      <w:r>
        <w:rPr>
          <w:rFonts w:ascii="楷体_GB2312" w:eastAsia="楷体_GB2312"/>
          <w:sz w:val="20"/>
          <w:szCs w:val="20"/>
        </w:rPr>
        <w:t xml:space="preserve">。 </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本产品存续期间理财收益分配的具体规则及投资者赎回时未付收益处理规则如下：</w:t>
      </w:r>
    </w:p>
    <w:p>
      <w:pPr>
        <w:spacing w:line="300" w:lineRule="exact"/>
        <w:ind w:firstLine="400" w:firstLineChars="200"/>
        <w:jc w:val="both"/>
        <w:rPr>
          <w:rFonts w:ascii="楷体_GB2312" w:eastAsia="楷体_GB2312"/>
          <w:sz w:val="20"/>
          <w:szCs w:val="20"/>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sz w:val="20"/>
          <w:szCs w:val="20"/>
        </w:rPr>
        <w:t>（</w:t>
      </w:r>
      <w:r>
        <w:rPr>
          <w:rFonts w:ascii="楷体_GB2312" w:eastAsia="楷体_GB2312"/>
          <w:sz w:val="20"/>
          <w:szCs w:val="20"/>
        </w:rPr>
        <w:t>1）本理财产品每个</w:t>
      </w:r>
      <w:r>
        <w:rPr>
          <w:rFonts w:hint="eastAsia" w:ascii="楷体_GB2312" w:eastAsia="楷体_GB2312"/>
          <w:color w:val="000000" w:themeColor="text1"/>
          <w:sz w:val="20"/>
          <w:szCs w:val="20"/>
          <w14:textFill>
            <w14:solidFill>
              <w14:schemeClr w14:val="tx1"/>
            </w14:solidFill>
          </w14:textFill>
        </w:rPr>
        <w:t>自然日</w:t>
      </w:r>
      <w:r>
        <w:rPr>
          <w:rFonts w:ascii="楷体_GB2312" w:eastAsia="楷体_GB2312"/>
          <w:sz w:val="20"/>
          <w:szCs w:val="20"/>
        </w:rPr>
        <w:t>进行收益分配；</w:t>
      </w:r>
    </w:p>
    <w:p>
      <w:pPr>
        <w:spacing w:line="300" w:lineRule="exact"/>
        <w:ind w:firstLine="400" w:firstLineChars="200"/>
        <w:jc w:val="both"/>
        <w:rPr>
          <w:rFonts w:ascii="楷体_GB2312" w:eastAsia="楷体_GB2312"/>
          <w:sz w:val="20"/>
          <w:szCs w:val="20"/>
        </w:rPr>
      </w:pPr>
      <w:r>
        <w:rPr>
          <w:rFonts w:hint="eastAsia" w:ascii="楷体_GB2312" w:eastAsia="楷体_GB2312"/>
          <w:sz w:val="20"/>
          <w:szCs w:val="20"/>
        </w:rPr>
        <w:t>（</w:t>
      </w:r>
      <w:r>
        <w:rPr>
          <w:rFonts w:ascii="楷体_GB2312" w:eastAsia="楷体_GB2312"/>
          <w:sz w:val="20"/>
          <w:szCs w:val="20"/>
        </w:rPr>
        <w:t>2）投资者持有理财产品每个</w:t>
      </w:r>
      <w:r>
        <w:rPr>
          <w:rFonts w:hint="eastAsia" w:ascii="楷体_GB2312" w:eastAsia="楷体_GB2312"/>
          <w:color w:val="000000" w:themeColor="text1"/>
          <w:sz w:val="20"/>
          <w:szCs w:val="20"/>
          <w14:textFill>
            <w14:solidFill>
              <w14:schemeClr w14:val="tx1"/>
            </w14:solidFill>
          </w14:textFill>
        </w:rPr>
        <w:t>自然日</w:t>
      </w:r>
      <w:r>
        <w:rPr>
          <w:rFonts w:ascii="楷体_GB2312" w:eastAsia="楷体_GB2312"/>
          <w:sz w:val="20"/>
          <w:szCs w:val="20"/>
        </w:rPr>
        <w:t>分配的收益=【当日总未付理财收益/理财产品总份额×投资者持有理财产品份额】（保留两位小数，去尾并进行再次分配，直到分完为止）。</w:t>
      </w:r>
    </w:p>
    <w:p>
      <w:pPr>
        <w:spacing w:line="300" w:lineRule="exact"/>
        <w:ind w:firstLine="400" w:firstLineChars="200"/>
        <w:jc w:val="both"/>
        <w:rPr>
          <w:rFonts w:ascii="楷体_GB2312" w:eastAsia="楷体_GB2312"/>
          <w:sz w:val="20"/>
          <w:szCs w:val="20"/>
        </w:rPr>
      </w:pPr>
      <w:r>
        <w:rPr>
          <w:rFonts w:hint="eastAsia" w:ascii="楷体_GB2312" w:eastAsia="楷体_GB2312"/>
          <w:sz w:val="20"/>
          <w:szCs w:val="20"/>
        </w:rPr>
        <w:t>（</w:t>
      </w:r>
      <w:r>
        <w:rPr>
          <w:rFonts w:ascii="楷体_GB2312" w:eastAsia="楷体_GB2312"/>
          <w:sz w:val="20"/>
          <w:szCs w:val="20"/>
        </w:rPr>
        <w:t>3）投资者每个</w:t>
      </w:r>
      <w:r>
        <w:rPr>
          <w:rFonts w:hint="eastAsia" w:ascii="楷体_GB2312" w:eastAsia="楷体_GB2312"/>
          <w:color w:val="000000" w:themeColor="text1"/>
          <w:sz w:val="20"/>
          <w:szCs w:val="20"/>
          <w14:textFill>
            <w14:solidFill>
              <w14:schemeClr w14:val="tx1"/>
            </w14:solidFill>
          </w14:textFill>
        </w:rPr>
        <w:t>自然日</w:t>
      </w:r>
      <w:r>
        <w:rPr>
          <w:rFonts w:ascii="楷体_GB2312" w:eastAsia="楷体_GB2312"/>
          <w:sz w:val="20"/>
          <w:szCs w:val="20"/>
        </w:rPr>
        <w:t>分配的收益结转为理财产品份额并参与下一个</w:t>
      </w:r>
      <w:r>
        <w:rPr>
          <w:rFonts w:hint="eastAsia" w:ascii="楷体_GB2312" w:eastAsia="楷体_GB2312"/>
          <w:color w:val="000000" w:themeColor="text1"/>
          <w:sz w:val="20"/>
          <w:szCs w:val="20"/>
          <w14:textFill>
            <w14:solidFill>
              <w14:schemeClr w14:val="tx1"/>
            </w14:solidFill>
          </w14:textFill>
        </w:rPr>
        <w:t>自然日</w:t>
      </w:r>
      <w:r>
        <w:rPr>
          <w:rFonts w:ascii="楷体_GB2312" w:eastAsia="楷体_GB2312"/>
          <w:sz w:val="20"/>
          <w:szCs w:val="20"/>
        </w:rPr>
        <w:t>收益分配；</w:t>
      </w:r>
    </w:p>
    <w:p>
      <w:pPr>
        <w:spacing w:line="300" w:lineRule="exact"/>
        <w:ind w:firstLine="400" w:firstLineChars="200"/>
        <w:jc w:val="both"/>
        <w:rPr>
          <w:rFonts w:ascii="楷体_GB2312" w:eastAsia="楷体_GB2312"/>
          <w:sz w:val="20"/>
          <w:szCs w:val="20"/>
        </w:rPr>
      </w:pPr>
      <w:r>
        <w:rPr>
          <w:rFonts w:hint="eastAsia" w:ascii="楷体_GB2312" w:eastAsia="楷体_GB2312"/>
          <w:sz w:val="20"/>
          <w:szCs w:val="20"/>
        </w:rPr>
        <w:t>（</w:t>
      </w:r>
      <w:r>
        <w:rPr>
          <w:rFonts w:ascii="楷体_GB2312" w:eastAsia="楷体_GB2312"/>
          <w:sz w:val="20"/>
          <w:szCs w:val="20"/>
        </w:rPr>
        <w:t>4）若当日总未付理财收益大于零时，则按投资者的应分配收益增加其理财份额；若当日已实现收益等于零时，则保持投资者理财份额不变；若当日净收益小于零时，不缩减投资者理财份额，其后在投资者累计净收益大于零的自然日，按累计收益增加投资者理财份额；</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sz w:val="20"/>
          <w:szCs w:val="20"/>
        </w:rPr>
        <w:t>（</w:t>
      </w:r>
      <w:r>
        <w:rPr>
          <w:rFonts w:ascii="楷体_GB2312" w:eastAsia="楷体_GB2312"/>
          <w:sz w:val="20"/>
          <w:szCs w:val="20"/>
        </w:rPr>
        <w:t>5）当日申购的理财份额自下一个工作日起，享有理财的收益分配权益；当日赎回的理财份额自下一个工作日起，不享有理财的收益分配权益</w:t>
      </w:r>
      <w:r>
        <w:rPr>
          <w:rFonts w:hint="eastAsia" w:ascii="楷体_GB2312" w:eastAsia="楷体_GB2312"/>
          <w:sz w:val="20"/>
          <w:szCs w:val="20"/>
        </w:rPr>
        <w:t>。</w:t>
      </w:r>
      <w:r>
        <w:rPr>
          <w:rFonts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符合法律法规</w:t>
      </w:r>
      <w:r>
        <w:rPr>
          <w:rFonts w:hint="eastAsia" w:ascii="楷体_GB2312" w:eastAsia="楷体_GB2312" w:cs="楷体_GB2312"/>
          <w:color w:val="000000" w:themeColor="text1"/>
          <w:sz w:val="20"/>
          <w:szCs w:val="20"/>
          <w14:textFill>
            <w14:solidFill>
              <w14:schemeClr w14:val="tx1"/>
            </w14:solidFill>
          </w14:textFill>
        </w:rPr>
        <w:t>及</w:t>
      </w:r>
      <w:r>
        <w:rPr>
          <w:rFonts w:ascii="楷体_GB2312" w:eastAsia="楷体_GB2312" w:cs="楷体_GB2312"/>
          <w:color w:val="000000" w:themeColor="text1"/>
          <w:sz w:val="20"/>
          <w:szCs w:val="20"/>
          <w14:textFill>
            <w14:solidFill>
              <w14:schemeClr w14:val="tx1"/>
            </w14:solidFill>
          </w14:textFill>
        </w:rPr>
        <w:t>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约定，并对理财产品投资者利益无实质不利影响</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前提下，管理人可提前【2】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对期间收益分配原则及方式进行调整。</w:t>
      </w:r>
    </w:p>
    <w:p>
      <w:pPr>
        <w:numPr>
          <w:ilvl w:val="0"/>
          <w:numId w:val="7"/>
        </w:numPr>
        <w:spacing w:line="300" w:lineRule="exact"/>
        <w:ind w:left="0" w:right="96" w:rightChars="40" w:firstLine="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pPr>
        <w:pStyle w:val="7"/>
        <w:numPr>
          <w:ilvl w:val="0"/>
          <w:numId w:val="8"/>
        </w:numPr>
        <w:spacing w:line="300" w:lineRule="exact"/>
        <w:ind w:firstLineChars="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本产品在扣除信银理财</w:t>
      </w:r>
      <w:r>
        <w:rPr>
          <w:rFonts w:ascii="楷体_GB2312" w:eastAsia="楷体_GB2312" w:cs="楷体_GB2312"/>
          <w:color w:val="000000" w:themeColor="text1"/>
          <w:sz w:val="20"/>
          <w:szCs w:val="20"/>
          <w14:textFill>
            <w14:solidFill>
              <w14:schemeClr w14:val="tx1"/>
            </w14:solidFill>
          </w14:textFill>
        </w:rPr>
        <w:t>应收取费用</w:t>
      </w:r>
      <w:r>
        <w:rPr>
          <w:rFonts w:hint="eastAsia" w:ascii="楷体_GB2312" w:eastAsia="楷体_GB2312" w:cs="楷体_GB2312"/>
          <w:color w:val="000000" w:themeColor="text1"/>
          <w:sz w:val="20"/>
          <w:szCs w:val="20"/>
          <w14:textFill>
            <w14:solidFill>
              <w14:schemeClr w14:val="tx1"/>
            </w14:solidFill>
          </w14:textFill>
        </w:rPr>
        <w:t>及其他应由产品承担的税费后的投资损益全部归属投资者。</w:t>
      </w:r>
    </w:p>
    <w:p>
      <w:pPr>
        <w:pStyle w:val="7"/>
        <w:numPr>
          <w:ilvl w:val="0"/>
          <w:numId w:val="8"/>
        </w:numPr>
        <w:spacing w:line="300" w:lineRule="exact"/>
        <w:ind w:left="0" w:firstLine="426" w:firstLineChars="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pPr>
        <w:pStyle w:val="7"/>
        <w:numPr>
          <w:ilvl w:val="0"/>
          <w:numId w:val="8"/>
        </w:numPr>
        <w:spacing w:line="300" w:lineRule="exact"/>
        <w:ind w:left="0" w:firstLine="426" w:firstLineChars="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pPr>
        <w:pStyle w:val="7"/>
        <w:spacing w:line="300" w:lineRule="exact"/>
        <w:ind w:left="758" w:firstLine="0" w:firstLineChars="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p>
    <w:p>
      <w:pPr>
        <w:pStyle w:val="7"/>
        <w:numPr>
          <w:ilvl w:val="0"/>
          <w:numId w:val="8"/>
        </w:numPr>
        <w:spacing w:line="300" w:lineRule="exact"/>
        <w:ind w:left="0" w:firstLine="426" w:firstLineChars="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pPr>
        <w:pStyle w:val="7"/>
        <w:numPr>
          <w:ilvl w:val="0"/>
          <w:numId w:val="8"/>
        </w:numPr>
        <w:spacing w:line="300" w:lineRule="exact"/>
        <w:ind w:left="0" w:firstLine="426" w:firstLineChars="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pPr>
        <w:spacing w:line="300" w:lineRule="exact"/>
        <w:ind w:left="-2" w:leftChars="-1" w:right="36" w:rightChars="15"/>
        <w:rPr>
          <w:color w:val="000000" w:themeColor="text1"/>
          <w14:textFill>
            <w14:solidFill>
              <w14:schemeClr w14:val="tx1"/>
            </w14:solidFill>
          </w14:textFill>
        </w:rPr>
      </w:pPr>
    </w:p>
    <w:p>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pPr>
        <w:snapToGrid w:val="0"/>
        <w:spacing w:line="300" w:lineRule="exact"/>
        <w:ind w:left="-2" w:leftChars="-1"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w:t>
      </w:r>
      <w:r>
        <w:rPr>
          <w:rFonts w:hint="eastAsia"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因投资资产而产生的资产推荐服务费等相关费用，以及按照法律</w:t>
      </w:r>
      <w:r>
        <w:rPr>
          <w:rFonts w:ascii="楷体_GB2312" w:eastAsia="楷体_GB2312" w:cs="楷体_GB2312"/>
          <w:b/>
          <w:color w:val="000000" w:themeColor="text1"/>
          <w:sz w:val="20"/>
          <w:szCs w:val="20"/>
          <w14:textFill>
            <w14:solidFill>
              <w14:schemeClr w14:val="tx1"/>
            </w14:solidFill>
          </w14:textFill>
        </w:rPr>
        <w:t>法规规章</w:t>
      </w:r>
      <w:r>
        <w:rPr>
          <w:rFonts w:hint="eastAsia" w:ascii="楷体_GB2312" w:eastAsia="楷体_GB2312" w:cs="楷体_GB2312"/>
          <w:b/>
          <w:color w:val="000000" w:themeColor="text1"/>
          <w:sz w:val="20"/>
          <w:szCs w:val="20"/>
          <w14:textFill>
            <w14:solidFill>
              <w14:schemeClr w14:val="tx1"/>
            </w14:solidFill>
          </w14:textFill>
        </w:rPr>
        <w:t>规定和理财</w:t>
      </w:r>
      <w:r>
        <w:rPr>
          <w:rFonts w:ascii="楷体_GB2312" w:eastAsia="楷体_GB2312" w:cs="楷体_GB2312"/>
          <w:b/>
          <w:color w:val="000000" w:themeColor="text1"/>
          <w:sz w:val="20"/>
          <w:szCs w:val="20"/>
          <w14:textFill>
            <w14:solidFill>
              <w14:schemeClr w14:val="tx1"/>
            </w14:solidFill>
          </w14:textFill>
        </w:rPr>
        <w:t>产品销售文件</w:t>
      </w:r>
      <w:r>
        <w:rPr>
          <w:rFonts w:hint="eastAsia" w:ascii="楷体_GB2312" w:eastAsia="楷体_GB2312" w:cs="楷体_GB2312"/>
          <w:b/>
          <w:color w:val="000000" w:themeColor="text1"/>
          <w:sz w:val="20"/>
          <w:szCs w:val="20"/>
          <w14:textFill>
            <w14:solidFill>
              <w14:schemeClr w14:val="tx1"/>
            </w14:solidFill>
          </w14:textFill>
        </w:rPr>
        <w:t>约定可以列入的其他费用。管理人因管理、运营理财产品发生的税费</w:t>
      </w:r>
      <w:r>
        <w:rPr>
          <w:rFonts w:hint="eastAsia" w:ascii="楷体_GB2312" w:eastAsia="楷体_GB2312"/>
          <w:b/>
          <w:color w:val="000000" w:themeColor="text1"/>
          <w:sz w:val="20"/>
          <w:szCs w:val="20"/>
          <w14:textFill>
            <w14:solidFill>
              <w14:schemeClr w14:val="tx1"/>
            </w14:solidFill>
          </w14:textFill>
        </w:rPr>
        <w:t>（包括但不限于增值税及相应的附加税费等）</w:t>
      </w:r>
      <w:r>
        <w:rPr>
          <w:rFonts w:hint="eastAsia" w:ascii="楷体_GB2312" w:eastAsia="楷体_GB2312" w:cs="楷体_GB2312"/>
          <w:b/>
          <w:color w:val="000000" w:themeColor="text1"/>
          <w:sz w:val="20"/>
          <w:szCs w:val="20"/>
          <w14:textFill>
            <w14:solidFill>
              <w14:schemeClr w14:val="tx1"/>
            </w14:solidFill>
          </w14:textFill>
        </w:rPr>
        <w:t>由产品资产承担。法律</w:t>
      </w:r>
      <w:r>
        <w:rPr>
          <w:rFonts w:ascii="楷体_GB2312" w:eastAsia="楷体_GB2312" w:cs="楷体_GB2312"/>
          <w:b/>
          <w:color w:val="000000" w:themeColor="text1"/>
          <w:sz w:val="20"/>
          <w:szCs w:val="20"/>
          <w14:textFill>
            <w14:solidFill>
              <w14:schemeClr w14:val="tx1"/>
            </w14:solidFill>
          </w14:textFill>
        </w:rPr>
        <w:t>法规另有规定时从其规定。</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w:t>
      </w:r>
      <w:r>
        <w:rPr>
          <w:rFonts w:hint="eastAsia" w:ascii="楷体_GB2312" w:eastAsia="楷体_GB2312" w:cs="楷体_GB2312"/>
          <w:b/>
          <w:color w:val="000000" w:themeColor="text1"/>
          <w:sz w:val="20"/>
          <w:szCs w:val="20"/>
          <w14:textFill>
            <w14:solidFill>
              <w14:schemeClr w14:val="tx1"/>
            </w14:solidFill>
          </w14:textFill>
        </w:rPr>
        <w:t>．认购费</w:t>
      </w:r>
      <w:r>
        <w:rPr>
          <w:rFonts w:ascii="楷体_GB2312" w:eastAsia="楷体_GB2312" w:cs="楷体_GB2312"/>
          <w:b/>
          <w:color w:val="000000" w:themeColor="text1"/>
          <w:sz w:val="20"/>
          <w:szCs w:val="20"/>
          <w14:textFill>
            <w14:solidFill>
              <w14:schemeClr w14:val="tx1"/>
            </w14:solidFill>
          </w14:textFill>
        </w:rPr>
        <w:t>：</w:t>
      </w:r>
      <w:r>
        <w:rPr>
          <w:rFonts w:hint="eastAsia" w:ascii="楷体_GB2312" w:eastAsia="楷体_GB2312" w:cs="楷体_GB2312"/>
          <w:b/>
          <w:color w:val="000000" w:themeColor="text1"/>
          <w:sz w:val="20"/>
          <w:szCs w:val="20"/>
          <w14:textFill>
            <w14:solidFill>
              <w14:schemeClr w14:val="tx1"/>
            </w14:solidFill>
          </w14:textFill>
        </w:rPr>
        <w:t>B</w:t>
      </w:r>
      <w:r>
        <w:rPr>
          <w:rFonts w:ascii="楷体_GB2312" w:eastAsia="楷体_GB2312" w:cs="楷体_GB2312"/>
          <w:b/>
          <w:color w:val="000000" w:themeColor="text1"/>
          <w:sz w:val="20"/>
          <w:szCs w:val="20"/>
          <w14:textFill>
            <w14:solidFill>
              <w14:schemeClr w14:val="tx1"/>
            </w14:solidFill>
          </w14:textFill>
        </w:rPr>
        <w:t>类份额不收取认购费，</w:t>
      </w:r>
      <w:r>
        <w:rPr>
          <w:rFonts w:hint="eastAsia" w:ascii="楷体_GB2312" w:eastAsia="楷体_GB2312" w:cs="楷体_GB2312"/>
          <w:b/>
          <w:color w:val="000000" w:themeColor="text1"/>
          <w:sz w:val="20"/>
          <w:szCs w:val="20"/>
          <w14:textFill>
            <w14:solidFill>
              <w14:schemeClr w14:val="tx1"/>
            </w14:solidFill>
          </w14:textFill>
        </w:rPr>
        <w:t>M</w:t>
      </w:r>
      <w:r>
        <w:rPr>
          <w:rFonts w:ascii="楷体_GB2312" w:eastAsia="楷体_GB2312" w:cs="楷体_GB2312"/>
          <w:b/>
          <w:color w:val="000000" w:themeColor="text1"/>
          <w:sz w:val="20"/>
          <w:szCs w:val="20"/>
          <w14:textFill>
            <w14:solidFill>
              <w14:schemeClr w14:val="tx1"/>
            </w14:solidFill>
          </w14:textFill>
        </w:rPr>
        <w:t>类份额不收取认购费，G类份额不收取认购费，H类份额不收取认购费，L类份额不收取认购费</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w:t>
      </w:r>
      <w:r>
        <w:rPr>
          <w:rFonts w:hint="eastAsia" w:ascii="楷体_GB2312" w:eastAsia="楷体_GB2312" w:cs="楷体_GB2312"/>
          <w:b/>
          <w:color w:val="000000" w:themeColor="text1"/>
          <w:sz w:val="20"/>
          <w:szCs w:val="20"/>
          <w14:textFill>
            <w14:solidFill>
              <w14:schemeClr w14:val="tx1"/>
            </w14:solidFill>
          </w14:textFill>
        </w:rPr>
        <w:t>．申购费</w:t>
      </w:r>
      <w:r>
        <w:rPr>
          <w:rFonts w:ascii="楷体_GB2312" w:eastAsia="楷体_GB2312" w:cs="楷体_GB2312"/>
          <w:b/>
          <w:color w:val="000000" w:themeColor="text1"/>
          <w:sz w:val="20"/>
          <w:szCs w:val="20"/>
          <w14:textFill>
            <w14:solidFill>
              <w14:schemeClr w14:val="tx1"/>
            </w14:solidFill>
          </w14:textFill>
        </w:rPr>
        <w:t>：</w:t>
      </w:r>
      <w:r>
        <w:rPr>
          <w:rFonts w:hint="eastAsia" w:ascii="楷体_GB2312" w:eastAsia="楷体_GB2312" w:cs="楷体_GB2312"/>
          <w:b/>
          <w:color w:val="000000" w:themeColor="text1"/>
          <w:sz w:val="20"/>
          <w:szCs w:val="20"/>
          <w14:textFill>
            <w14:solidFill>
              <w14:schemeClr w14:val="tx1"/>
            </w14:solidFill>
          </w14:textFill>
        </w:rPr>
        <w:t>B</w:t>
      </w:r>
      <w:r>
        <w:rPr>
          <w:rFonts w:ascii="楷体_GB2312" w:eastAsia="楷体_GB2312" w:cs="楷体_GB2312"/>
          <w:b/>
          <w:color w:val="000000" w:themeColor="text1"/>
          <w:sz w:val="20"/>
          <w:szCs w:val="20"/>
          <w14:textFill>
            <w14:solidFill>
              <w14:schemeClr w14:val="tx1"/>
            </w14:solidFill>
          </w14:textFill>
        </w:rPr>
        <w:t>类份额不收取申购费</w:t>
      </w:r>
      <w:r>
        <w:rPr>
          <w:rFonts w:hint="eastAsia" w:ascii="楷体_GB2312" w:eastAsia="楷体_GB2312" w:cs="楷体_GB2312"/>
          <w:b/>
          <w:color w:val="000000" w:themeColor="text1"/>
          <w:sz w:val="20"/>
          <w:szCs w:val="20"/>
          <w14:textFill>
            <w14:solidFill>
              <w14:schemeClr w14:val="tx1"/>
            </w14:solidFill>
          </w14:textFill>
        </w:rPr>
        <w:t>，M</w:t>
      </w:r>
      <w:r>
        <w:rPr>
          <w:rFonts w:ascii="楷体_GB2312" w:eastAsia="楷体_GB2312" w:cs="楷体_GB2312"/>
          <w:b/>
          <w:color w:val="000000" w:themeColor="text1"/>
          <w:sz w:val="20"/>
          <w:szCs w:val="20"/>
          <w14:textFill>
            <w14:solidFill>
              <w14:schemeClr w14:val="tx1"/>
            </w14:solidFill>
          </w14:textFill>
        </w:rPr>
        <w:t>类份额不收取申购费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G类份额不收取申购费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H类份额不收取申购费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L类份额不收取申购费</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w:t>
      </w:r>
      <w:r>
        <w:rPr>
          <w:rFonts w:hint="eastAsia" w:ascii="楷体_GB2312" w:eastAsia="楷体_GB2312" w:cs="楷体_GB2312"/>
          <w:b/>
          <w:color w:val="000000" w:themeColor="text1"/>
          <w:sz w:val="20"/>
          <w:szCs w:val="20"/>
          <w14:textFill>
            <w14:solidFill>
              <w14:schemeClr w14:val="tx1"/>
            </w14:solidFill>
          </w14:textFill>
        </w:rPr>
        <w:t>B</w:t>
      </w:r>
      <w:r>
        <w:rPr>
          <w:rFonts w:ascii="楷体_GB2312" w:eastAsia="楷体_GB2312" w:cs="楷体_GB2312"/>
          <w:b/>
          <w:color w:val="000000" w:themeColor="text1"/>
          <w:sz w:val="20"/>
          <w:szCs w:val="20"/>
          <w14:textFill>
            <w14:solidFill>
              <w14:schemeClr w14:val="tx1"/>
            </w14:solidFill>
          </w14:textFill>
        </w:rPr>
        <w:t>类份额不收取赎回费，</w:t>
      </w:r>
      <w:r>
        <w:rPr>
          <w:rFonts w:hint="eastAsia" w:ascii="楷体_GB2312" w:eastAsia="楷体_GB2312" w:cs="楷体_GB2312"/>
          <w:b/>
          <w:color w:val="000000" w:themeColor="text1"/>
          <w:sz w:val="20"/>
          <w:szCs w:val="20"/>
          <w14:textFill>
            <w14:solidFill>
              <w14:schemeClr w14:val="tx1"/>
            </w14:solidFill>
          </w14:textFill>
        </w:rPr>
        <w:t>M</w:t>
      </w:r>
      <w:r>
        <w:rPr>
          <w:rFonts w:ascii="楷体_GB2312" w:eastAsia="楷体_GB2312" w:cs="楷体_GB2312"/>
          <w:b/>
          <w:color w:val="000000" w:themeColor="text1"/>
          <w:sz w:val="20"/>
          <w:szCs w:val="20"/>
          <w14:textFill>
            <w14:solidFill>
              <w14:schemeClr w14:val="tx1"/>
            </w14:solidFill>
          </w14:textFill>
        </w:rPr>
        <w:t>类份额不收取赎回费，G类份额不收取赎回费，H类份额不收取赎回费，L类份额不收取赎回费。</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pPr>
        <w:snapToGrid w:val="0"/>
        <w:spacing w:line="300" w:lineRule="exact"/>
        <w:ind w:left="-2" w:leftChars="-1"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B</w:t>
      </w:r>
      <w:r>
        <w:rPr>
          <w:rFonts w:ascii="楷体_GB2312" w:eastAsia="楷体_GB2312" w:cs="楷体_GB2312"/>
          <w:b/>
          <w:color w:val="000000" w:themeColor="text1"/>
          <w:sz w:val="20"/>
          <w:szCs w:val="20"/>
          <w14:textFill>
            <w14:solidFill>
              <w14:schemeClr w14:val="tx1"/>
            </w14:solidFill>
          </w14:textFill>
        </w:rPr>
        <w:t>类份额费率【0.</w:t>
      </w:r>
      <w:r>
        <w:rPr>
          <w:rFonts w:hint="eastAsia" w:ascii="楷体_GB2312" w:eastAsia="楷体_GB2312" w:cs="楷体_GB2312"/>
          <w:b/>
          <w:color w:val="000000" w:themeColor="text1"/>
          <w:sz w:val="20"/>
          <w:szCs w:val="20"/>
          <w14:textFill>
            <w14:solidFill>
              <w14:schemeClr w14:val="tx1"/>
            </w14:solidFill>
          </w14:textFill>
        </w:rPr>
        <w:t>30</w:t>
      </w:r>
      <w:r>
        <w:rPr>
          <w:rFonts w:ascii="楷体_GB2312" w:eastAsia="楷体_GB2312" w:cs="楷体_GB2312"/>
          <w:b/>
          <w:color w:val="000000" w:themeColor="text1"/>
          <w:sz w:val="20"/>
          <w:szCs w:val="20"/>
          <w14:textFill>
            <w14:solidFill>
              <w14:schemeClr w14:val="tx1"/>
            </w14:solidFill>
          </w14:textFill>
        </w:rPr>
        <w:t>%】/年</w:t>
      </w:r>
      <w:r>
        <w:rPr>
          <w:rFonts w:hint="eastAsia" w:ascii="楷体_GB2312" w:eastAsia="楷体_GB2312" w:cs="楷体_GB2312"/>
          <w:b/>
          <w:color w:val="000000" w:themeColor="text1"/>
          <w:sz w:val="20"/>
          <w:szCs w:val="20"/>
          <w14:textFill>
            <w14:solidFill>
              <w14:schemeClr w14:val="tx1"/>
            </w14:solidFill>
          </w14:textFill>
        </w:rPr>
        <w:t>，M</w:t>
      </w:r>
      <w:r>
        <w:rPr>
          <w:rFonts w:ascii="楷体_GB2312" w:eastAsia="楷体_GB2312" w:cs="楷体_GB2312"/>
          <w:b/>
          <w:color w:val="000000" w:themeColor="text1"/>
          <w:sz w:val="20"/>
          <w:szCs w:val="20"/>
          <w14:textFill>
            <w14:solidFill>
              <w14:schemeClr w14:val="tx1"/>
            </w14:solidFill>
          </w14:textFill>
        </w:rPr>
        <w:t>类份额费率【0.</w:t>
      </w:r>
      <w:r>
        <w:rPr>
          <w:rFonts w:hint="eastAsia" w:ascii="楷体_GB2312" w:eastAsia="楷体_GB2312" w:cs="楷体_GB2312"/>
          <w:b/>
          <w:color w:val="000000" w:themeColor="text1"/>
          <w:sz w:val="20"/>
          <w:szCs w:val="20"/>
          <w14:textFill>
            <w14:solidFill>
              <w14:schemeClr w14:val="tx1"/>
            </w14:solidFill>
          </w14:textFill>
        </w:rPr>
        <w:t>30</w:t>
      </w:r>
      <w:r>
        <w:rPr>
          <w:rFonts w:ascii="楷体_GB2312" w:eastAsia="楷体_GB2312" w:cs="楷体_GB2312"/>
          <w:b/>
          <w:color w:val="000000" w:themeColor="text1"/>
          <w:sz w:val="20"/>
          <w:szCs w:val="20"/>
          <w14:textFill>
            <w14:solidFill>
              <w14:schemeClr w14:val="tx1"/>
            </w14:solidFill>
          </w14:textFill>
        </w:rPr>
        <w:t>%】/年</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G类份额费率【0.</w:t>
      </w:r>
      <w:r>
        <w:rPr>
          <w:rFonts w:hint="eastAsia" w:ascii="楷体_GB2312" w:eastAsia="楷体_GB2312" w:cs="楷体_GB2312"/>
          <w:b/>
          <w:color w:val="000000" w:themeColor="text1"/>
          <w:sz w:val="20"/>
          <w:szCs w:val="20"/>
          <w14:textFill>
            <w14:solidFill>
              <w14:schemeClr w14:val="tx1"/>
            </w14:solidFill>
          </w14:textFill>
        </w:rPr>
        <w:t>30</w:t>
      </w:r>
      <w:r>
        <w:rPr>
          <w:rFonts w:ascii="楷体_GB2312" w:eastAsia="楷体_GB2312" w:cs="楷体_GB2312"/>
          <w:b/>
          <w:color w:val="000000" w:themeColor="text1"/>
          <w:sz w:val="20"/>
          <w:szCs w:val="20"/>
          <w14:textFill>
            <w14:solidFill>
              <w14:schemeClr w14:val="tx1"/>
            </w14:solidFill>
          </w14:textFill>
        </w:rPr>
        <w:t>%】/年</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H类份额费率【0.</w:t>
      </w:r>
      <w:r>
        <w:rPr>
          <w:rFonts w:hint="eastAsia" w:ascii="楷体_GB2312" w:eastAsia="楷体_GB2312" w:cs="楷体_GB2312"/>
          <w:b/>
          <w:color w:val="000000" w:themeColor="text1"/>
          <w:sz w:val="20"/>
          <w:szCs w:val="20"/>
          <w14:textFill>
            <w14:solidFill>
              <w14:schemeClr w14:val="tx1"/>
            </w14:solidFill>
          </w14:textFill>
        </w:rPr>
        <w:t>30</w:t>
      </w:r>
      <w:r>
        <w:rPr>
          <w:rFonts w:ascii="楷体_GB2312" w:eastAsia="楷体_GB2312" w:cs="楷体_GB2312"/>
          <w:b/>
          <w:color w:val="000000" w:themeColor="text1"/>
          <w:sz w:val="20"/>
          <w:szCs w:val="20"/>
          <w14:textFill>
            <w14:solidFill>
              <w14:schemeClr w14:val="tx1"/>
            </w14:solidFill>
          </w14:textFill>
        </w:rPr>
        <w:t>%】/年</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L类份额费率【0.</w:t>
      </w:r>
      <w:r>
        <w:rPr>
          <w:rFonts w:hint="eastAsia" w:ascii="楷体_GB2312" w:eastAsia="楷体_GB2312" w:cs="楷体_GB2312"/>
          <w:b/>
          <w:color w:val="000000" w:themeColor="text1"/>
          <w:sz w:val="20"/>
          <w:szCs w:val="20"/>
          <w14:textFill>
            <w14:solidFill>
              <w14:schemeClr w14:val="tx1"/>
            </w14:solidFill>
          </w14:textFill>
        </w:rPr>
        <w:t>30</w:t>
      </w:r>
      <w:r>
        <w:rPr>
          <w:rFonts w:ascii="楷体_GB2312" w:eastAsia="楷体_GB2312" w:cs="楷体_GB2312"/>
          <w:b/>
          <w:color w:val="000000" w:themeColor="text1"/>
          <w:sz w:val="20"/>
          <w:szCs w:val="20"/>
          <w14:textFill>
            <w14:solidFill>
              <w14:schemeClr w14:val="tx1"/>
            </w14:solidFill>
          </w14:textFill>
        </w:rPr>
        <w:t>%】/年</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计算方式为【每日销售费=当日理财产品份额×销售费率/365</w:t>
      </w:r>
      <w:r>
        <w:rPr>
          <w:rFonts w:hint="eastAsia" w:ascii="楷体_GB2312" w:eastAsia="楷体_GB2312" w:cs="楷体_GB2312"/>
          <w:b/>
          <w:color w:val="000000" w:themeColor="text1"/>
          <w:sz w:val="20"/>
          <w:szCs w:val="20"/>
          <w14:textFill>
            <w14:solidFill>
              <w14:schemeClr w14:val="tx1"/>
            </w14:solidFill>
          </w14:textFill>
        </w:rPr>
        <w:t>。（在首个起息日计算销售服务费时，以产品成立日的实收本金为计提基础，计算托管费、固定管理费时亦参照执行）】</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w:t>
      </w:r>
      <w:r>
        <w:rPr>
          <w:rFonts w:ascii="楷体_GB2312" w:eastAsia="楷体_GB2312" w:cs="楷体_GB2312"/>
          <w:b/>
          <w:color w:val="000000" w:themeColor="text1"/>
          <w:sz w:val="20"/>
          <w:szCs w:val="20"/>
          <w14:textFill>
            <w14:solidFill>
              <w14:schemeClr w14:val="tx1"/>
            </w14:solidFill>
          </w14:textFill>
        </w:rPr>
        <w:t>通过代销机构购买理财产品的，</w:t>
      </w:r>
      <w:r>
        <w:rPr>
          <w:rFonts w:hint="eastAsia" w:ascii="楷体_GB2312" w:eastAsia="楷体_GB2312" w:cs="楷体_GB2312"/>
          <w:b/>
          <w:color w:val="000000" w:themeColor="text1"/>
          <w:sz w:val="20"/>
          <w:szCs w:val="20"/>
          <w14:textFill>
            <w14:solidFill>
              <w14:schemeClr w14:val="tx1"/>
            </w14:solidFill>
          </w14:textFill>
        </w:rPr>
        <w:t>代销机构收取</w:t>
      </w:r>
      <w:r>
        <w:rPr>
          <w:rFonts w:ascii="楷体_GB2312" w:eastAsia="楷体_GB2312" w:cs="楷体_GB2312"/>
          <w:b/>
          <w:color w:val="000000" w:themeColor="text1"/>
          <w:sz w:val="20"/>
          <w:szCs w:val="20"/>
          <w14:textFill>
            <w14:solidFill>
              <w14:schemeClr w14:val="tx1"/>
            </w14:solidFill>
          </w14:textFill>
        </w:rPr>
        <w:t>的销售相关费用以代销机构</w:t>
      </w:r>
      <w:r>
        <w:rPr>
          <w:rFonts w:hint="eastAsia" w:ascii="楷体_GB2312" w:eastAsia="楷体_GB2312" w:cs="楷体_GB2312"/>
          <w:b/>
          <w:color w:val="000000" w:themeColor="text1"/>
          <w:sz w:val="20"/>
          <w:szCs w:val="20"/>
          <w14:textFill>
            <w14:solidFill>
              <w14:schemeClr w14:val="tx1"/>
            </w14:solidFill>
          </w14:textFill>
        </w:rPr>
        <w:t>规定</w:t>
      </w:r>
      <w:r>
        <w:rPr>
          <w:rFonts w:ascii="楷体_GB2312" w:eastAsia="楷体_GB2312" w:cs="楷体_GB2312"/>
          <w:b/>
          <w:color w:val="000000" w:themeColor="text1"/>
          <w:sz w:val="20"/>
          <w:szCs w:val="20"/>
          <w14:textFill>
            <w14:solidFill>
              <w14:schemeClr w14:val="tx1"/>
            </w14:solidFill>
          </w14:textFill>
        </w:rPr>
        <w:t>为准。</w:t>
      </w:r>
    </w:p>
    <w:p>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pPr>
        <w:snapToGrid w:val="0"/>
        <w:spacing w:line="300" w:lineRule="exact"/>
        <w:ind w:left="-2" w:leftChars="-1"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费率</w:t>
      </w:r>
      <w:r>
        <w:rPr>
          <w:rFonts w:ascii="楷体_GB2312" w:eastAsia="楷体_GB2312" w:cs="楷体_GB2312"/>
          <w:b/>
          <w:color w:val="000000" w:themeColor="text1"/>
          <w:sz w:val="20"/>
          <w:szCs w:val="20"/>
          <w14:textFill>
            <w14:solidFill>
              <w14:schemeClr w14:val="tx1"/>
            </w14:solidFill>
          </w14:textFill>
        </w:rPr>
        <w:t>【0.0</w:t>
      </w:r>
      <w:r>
        <w:rPr>
          <w:rFonts w:hint="eastAsia" w:ascii="楷体_GB2312" w:eastAsia="楷体_GB2312" w:cs="楷体_GB2312"/>
          <w:b/>
          <w:color w:val="000000" w:themeColor="text1"/>
          <w:sz w:val="20"/>
          <w:szCs w:val="20"/>
          <w14:textFill>
            <w14:solidFill>
              <w14:schemeClr w14:val="tx1"/>
            </w14:solidFill>
          </w14:textFill>
        </w:rPr>
        <w:t>5</w:t>
      </w:r>
      <w:r>
        <w:rPr>
          <w:rFonts w:ascii="楷体_GB2312" w:eastAsia="楷体_GB2312" w:cs="楷体_GB2312"/>
          <w:b/>
          <w:color w:val="000000" w:themeColor="text1"/>
          <w:sz w:val="20"/>
          <w:szCs w:val="20"/>
          <w14:textFill>
            <w14:solidFill>
              <w14:schemeClr w14:val="tx1"/>
            </w14:solidFill>
          </w14:textFill>
        </w:rPr>
        <w:t>%】/年，计算方式为【</w:t>
      </w:r>
      <w:r>
        <w:rPr>
          <w:rFonts w:hint="eastAsia" w:ascii="楷体_GB2312" w:eastAsia="楷体_GB2312" w:cs="楷体_GB2312"/>
          <w:b/>
          <w:color w:val="000000" w:themeColor="text1"/>
          <w:sz w:val="20"/>
          <w:szCs w:val="20"/>
          <w14:textFill>
            <w14:solidFill>
              <w14:schemeClr w14:val="tx1"/>
            </w14:solidFill>
          </w14:textFill>
        </w:rPr>
        <w:t>每日托管费</w:t>
      </w:r>
      <w:r>
        <w:rPr>
          <w:rFonts w:ascii="楷体_GB2312" w:eastAsia="楷体_GB2312" w:cs="楷体_GB2312"/>
          <w:b/>
          <w:color w:val="000000" w:themeColor="text1"/>
          <w:sz w:val="20"/>
          <w:szCs w:val="20"/>
          <w14:textFill>
            <w14:solidFill>
              <w14:schemeClr w14:val="tx1"/>
            </w14:solidFill>
          </w14:textFill>
        </w:rPr>
        <w:t>=当日理财产品份额×托管费率/365】</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托管费每日计提，按【年】支付，由管理人向托管人发送指令，托管人复核后从资产中一次性支付。</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w:t>
      </w:r>
      <w:r>
        <w:rPr>
          <w:rFonts w:hint="eastAsia" w:ascii="楷体_GB2312" w:eastAsia="楷体_GB2312" w:cs="楷体_GB2312"/>
          <w:b/>
          <w:color w:val="000000" w:themeColor="text1"/>
          <w:sz w:val="20"/>
          <w:szCs w:val="20"/>
          <w14:textFill>
            <w14:solidFill>
              <w14:schemeClr w14:val="tx1"/>
            </w14:solidFill>
          </w14:textFill>
        </w:rPr>
        <w:t>．固定管理费</w:t>
      </w:r>
    </w:p>
    <w:p>
      <w:pPr>
        <w:snapToGrid w:val="0"/>
        <w:spacing w:line="300" w:lineRule="exact"/>
        <w:ind w:left="-2" w:leftChars="-1"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费率【0.30%】</w:t>
      </w:r>
      <w:r>
        <w:rPr>
          <w:rFonts w:ascii="楷体_GB2312" w:eastAsia="楷体_GB2312" w:cs="楷体_GB2312"/>
          <w:b/>
          <w:color w:val="000000" w:themeColor="text1"/>
          <w:sz w:val="20"/>
          <w:szCs w:val="20"/>
          <w14:textFill>
            <w14:solidFill>
              <w14:schemeClr w14:val="tx1"/>
            </w14:solidFill>
          </w14:textFill>
        </w:rPr>
        <w:t>/年，计算方式为【</w:t>
      </w:r>
      <w:r>
        <w:rPr>
          <w:rFonts w:hint="eastAsia" w:ascii="楷体_GB2312" w:eastAsia="楷体_GB2312" w:cs="楷体_GB2312"/>
          <w:b/>
          <w:color w:val="000000" w:themeColor="text1"/>
          <w:sz w:val="20"/>
          <w:szCs w:val="20"/>
          <w14:textFill>
            <w14:solidFill>
              <w14:schemeClr w14:val="tx1"/>
            </w14:solidFill>
          </w14:textFill>
        </w:rPr>
        <w:t>每日固定管理费</w:t>
      </w:r>
      <w:r>
        <w:rPr>
          <w:rFonts w:ascii="楷体_GB2312" w:eastAsia="楷体_GB2312" w:cs="楷体_GB2312"/>
          <w:b/>
          <w:color w:val="000000" w:themeColor="text1"/>
          <w:sz w:val="20"/>
          <w:szCs w:val="20"/>
          <w14:textFill>
            <w14:solidFill>
              <w14:schemeClr w14:val="tx1"/>
            </w14:solidFill>
          </w14:textFill>
        </w:rPr>
        <w:t>=当日理财产品份额×固定管理费率/365】</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8</w:t>
      </w:r>
      <w:r>
        <w:rPr>
          <w:rFonts w:hint="eastAsia" w:ascii="楷体_GB2312" w:eastAsia="楷体_GB2312" w:cs="楷体_GB2312"/>
          <w:bCs/>
          <w:color w:val="000000" w:themeColor="text1"/>
          <w:sz w:val="20"/>
          <w:szCs w:val="20"/>
          <w14:textFill>
            <w14:solidFill>
              <w14:schemeClr w14:val="tx1"/>
            </w14:solidFill>
          </w14:textFill>
        </w:rPr>
        <w:t>．</w:t>
      </w:r>
      <w:r>
        <w:rPr>
          <w:rFonts w:hint="eastAsia" w:ascii="楷体_GB2312" w:eastAsia="楷体_GB2312" w:cs="楷体_GB2312"/>
          <w:b/>
          <w:color w:val="000000" w:themeColor="text1"/>
          <w:sz w:val="20"/>
          <w:szCs w:val="20"/>
          <w14:textFill>
            <w14:solidFill>
              <w14:schemeClr w14:val="tx1"/>
            </w14:solidFill>
          </w14:textFill>
        </w:rPr>
        <w:t>浮动管理费</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B</w:t>
      </w:r>
      <w:r>
        <w:rPr>
          <w:rFonts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M</w:t>
      </w:r>
      <w:r>
        <w:rPr>
          <w:rFonts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G类份额不收取浮动管理费。</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H类份额不收取浮动管理费。</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L类份额不收取浮动管理费。</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9.</w:t>
      </w:r>
      <w:r>
        <w:rPr>
          <w:rFonts w:hint="eastAsia"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产品运作和清算中产生的其他资金汇划费、结算费、交易手续费、注册登记费、信息披露费、账户服务费、审计费、律师费、因投资资产而产生的资产推荐服务费等相关费用及按照法律</w:t>
      </w:r>
      <w:r>
        <w:rPr>
          <w:rFonts w:ascii="楷体_GB2312" w:eastAsia="楷体_GB2312" w:cs="楷体_GB2312"/>
          <w:b/>
          <w:color w:val="000000" w:themeColor="text1"/>
          <w:sz w:val="20"/>
          <w:szCs w:val="20"/>
          <w14:textFill>
            <w14:solidFill>
              <w14:schemeClr w14:val="tx1"/>
            </w14:solidFill>
          </w14:textFill>
        </w:rPr>
        <w:t>法规规章</w:t>
      </w:r>
      <w:r>
        <w:rPr>
          <w:rFonts w:hint="eastAsia" w:ascii="楷体_GB2312" w:eastAsia="楷体_GB2312" w:cs="楷体_GB2312"/>
          <w:b/>
          <w:color w:val="000000" w:themeColor="text1"/>
          <w:sz w:val="20"/>
          <w:szCs w:val="20"/>
          <w14:textFill>
            <w14:solidFill>
              <w14:schemeClr w14:val="tx1"/>
            </w14:solidFill>
          </w14:textFill>
        </w:rPr>
        <w:t>规定和理财</w:t>
      </w:r>
      <w:r>
        <w:rPr>
          <w:rFonts w:ascii="楷体_GB2312" w:eastAsia="楷体_GB2312" w:cs="楷体_GB2312"/>
          <w:b/>
          <w:color w:val="000000" w:themeColor="text1"/>
          <w:sz w:val="20"/>
          <w:szCs w:val="20"/>
          <w14:textFill>
            <w14:solidFill>
              <w14:schemeClr w14:val="tx1"/>
            </w14:solidFill>
          </w14:textFill>
        </w:rPr>
        <w:t>产品销售文件</w:t>
      </w:r>
      <w:r>
        <w:rPr>
          <w:rFonts w:hint="eastAsia" w:ascii="楷体_GB2312" w:eastAsia="楷体_GB2312" w:cs="楷体_GB2312"/>
          <w:b/>
          <w:color w:val="000000" w:themeColor="text1"/>
          <w:sz w:val="20"/>
          <w:szCs w:val="20"/>
          <w14:textFill>
            <w14:solidFill>
              <w14:schemeClr w14:val="tx1"/>
            </w14:solidFill>
          </w14:textFill>
        </w:rPr>
        <w:t>约定应由产品承担的费用等，按照实际发生时从产品资产中列支。</w:t>
      </w:r>
    </w:p>
    <w:p>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本产品的估值日为产品开放日、净值披露日和收益分配日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本产品投资的各类资产采用“摊余成本法”进行计量，即计价对象以买入成本列示，按照票面利率或协议利率并考虑其买入时的溢价与折价，在剩余存续期内按照实际利率法摊销，每日计提损益。</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采用“摊余成本法”计量。</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3）未上市基金估值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4）信托计划、资管计划、私募基金等资产，以对方管理人披露的可获取到的最新净值，或前一估值日后至估值日期间（含节假日）能获取到的最新万分收益进行估值。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5）其它符合监管要求的资产，以产品管理人和托管人共同认可的满足法律法规以及监管部门最新规定的方法估值。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按照监管最新规定进行计算。</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对投资对象采用摊余成本法计量的，可能会出现被计价对象的其他可参考公允价值指标和摊余成本之间的偏离，为消除或减少因净值背离导致投资者权益稀释或其他不公平的结果，在实际操作中，管理人与托管人将采用估值技术，对本理财产品持有的估值对象进行重新评估，即“影子定价”。当影子定价确定的产品资产净值与摊余成本法计算的资产净值正偏离度绝对值达到</w:t>
      </w:r>
      <w:r>
        <w:rPr>
          <w:rFonts w:ascii="楷体_GB2312" w:eastAsia="楷体_GB2312" w:cs="楷体_GB2312"/>
          <w:color w:val="000000" w:themeColor="text1"/>
          <w:sz w:val="20"/>
          <w:szCs w:val="20"/>
          <w14:textFill>
            <w14:solidFill>
              <w14:schemeClr w14:val="tx1"/>
            </w14:solidFill>
          </w14:textFill>
        </w:rPr>
        <w:t>0.5%时，</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应当暂停接受认购/申购并在5个交易日内将正偏离度绝对值调整到0.5%以内。当负偏离度绝对值达到0.25%时，</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应当在5个交易日内将负偏离度绝对值调整到0.25%以内。当负偏离度绝对值达到0.5%时，</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应当采取相应措施，将负偏离度绝对值控制在0.5%以内。当负偏离度绝对值连续两个交易日超过0.5%时，</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应当采用公允价值估值方法对持有投资组合的账面价值进行调整</w:t>
      </w:r>
      <w:r>
        <w:rPr>
          <w:rFonts w:hint="eastAsia" w:ascii="楷体_GB2312" w:eastAsia="楷体_GB2312" w:cs="楷体_GB2312"/>
          <w:color w:val="000000" w:themeColor="text1"/>
          <w:sz w:val="20"/>
          <w:szCs w:val="20"/>
          <w14:textFill>
            <w14:solidFill>
              <w14:schemeClr w14:val="tx1"/>
            </w14:solidFill>
          </w14:textFill>
        </w:rPr>
        <w:t>，或者采取暂停接受所有赎回申请并终止产品合同进行财产清算等措施。当</w:t>
      </w:r>
      <w:r>
        <w:rPr>
          <w:rFonts w:ascii="楷体_GB2312" w:eastAsia="楷体_GB2312" w:cs="楷体_GB2312"/>
          <w:color w:val="000000" w:themeColor="text1"/>
          <w:sz w:val="20"/>
          <w:szCs w:val="20"/>
          <w14:textFill>
            <w14:solidFill>
              <w14:schemeClr w14:val="tx1"/>
            </w14:solidFill>
          </w14:textFill>
        </w:rPr>
        <w:t>发生</w:t>
      </w:r>
      <w:r>
        <w:rPr>
          <w:rFonts w:hint="eastAsia" w:ascii="楷体_GB2312" w:eastAsia="楷体_GB2312" w:cs="楷体_GB2312"/>
          <w:color w:val="000000" w:themeColor="text1"/>
          <w:sz w:val="20"/>
          <w:szCs w:val="20"/>
          <w14:textFill>
            <w14:solidFill>
              <w14:schemeClr w14:val="tx1"/>
            </w14:solidFill>
          </w14:textFill>
        </w:rPr>
        <w:t>上述情形时，管理人将及时通知投资者。</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w:t>
      </w:r>
      <w:r>
        <w:rPr>
          <w:rFonts w:ascii="楷体_GB2312" w:eastAsia="楷体_GB2312" w:cs="楷体_GB2312"/>
          <w:color w:val="000000" w:themeColor="text1"/>
          <w:sz w:val="20"/>
          <w:szCs w:val="20"/>
          <w14:textFill>
            <w14:solidFill>
              <w14:schemeClr w14:val="tx1"/>
            </w14:solidFill>
          </w14:textFill>
        </w:rPr>
        <w:t>估值方法进行估值</w:t>
      </w:r>
      <w:r>
        <w:rPr>
          <w:rFonts w:hint="eastAsia" w:ascii="楷体_GB2312" w:eastAsia="楷体_GB2312" w:cs="楷体_GB2312"/>
          <w:color w:val="000000" w:themeColor="text1"/>
          <w:sz w:val="20"/>
          <w:szCs w:val="20"/>
          <w14:textFill>
            <w14:solidFill>
              <w14:schemeClr w14:val="tx1"/>
            </w14:solidFill>
          </w14:textFill>
        </w:rPr>
        <w:t>时</w:t>
      </w:r>
      <w:r>
        <w:rPr>
          <w:rFonts w:ascii="楷体_GB2312" w:eastAsia="楷体_GB2312" w:cs="楷体_GB2312"/>
          <w:color w:val="000000" w:themeColor="text1"/>
          <w:sz w:val="20"/>
          <w:szCs w:val="20"/>
          <w14:textFill>
            <w14:solidFill>
              <w14:schemeClr w14:val="tx1"/>
            </w14:solidFill>
          </w14:textFill>
        </w:rPr>
        <w:t>，所造成的误差不作为理财产品估值错误处理。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r>
        <w:rPr>
          <w:rFonts w:hint="eastAsia" w:ascii="楷体_GB2312"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r>
        <w:rPr>
          <w:rFonts w:hint="eastAsia" w:ascii="楷体_GB2312"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r>
        <w:rPr>
          <w:rFonts w:hint="eastAsia" w:ascii="楷体_GB2312"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r>
        <w:rPr>
          <w:rFonts w:hint="eastAsia" w:ascii="楷体_GB2312"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特殊情况的处理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r>
        <w:rPr>
          <w:rFonts w:hint="eastAsia" w:ascii="楷体_GB2312"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非因</w:t>
      </w:r>
      <w:r>
        <w:rPr>
          <w:rFonts w:ascii="楷体_GB2312" w:eastAsia="楷体_GB2312" w:cs="楷体_GB2312"/>
          <w:color w:val="000000" w:themeColor="text1"/>
          <w:sz w:val="20"/>
          <w:szCs w:val="20"/>
          <w14:textFill>
            <w14:solidFill>
              <w14:schemeClr w14:val="tx1"/>
            </w14:solidFill>
          </w14:textFill>
        </w:rPr>
        <w:t>管理人主观</w:t>
      </w:r>
      <w:r>
        <w:rPr>
          <w:rFonts w:hint="eastAsia" w:ascii="楷体_GB2312" w:eastAsia="楷体_GB2312" w:cs="楷体_GB2312"/>
          <w:color w:val="000000" w:themeColor="text1"/>
          <w:sz w:val="20"/>
          <w:szCs w:val="20"/>
          <w14:textFill>
            <w14:solidFill>
              <w14:schemeClr w14:val="tx1"/>
            </w14:solidFill>
          </w14:textFill>
        </w:rPr>
        <w:t>原因</w:t>
      </w:r>
      <w:r>
        <w:rPr>
          <w:rFonts w:ascii="楷体_GB2312" w:eastAsia="楷体_GB2312" w:cs="楷体_GB2312"/>
          <w:color w:val="000000" w:themeColor="text1"/>
          <w:sz w:val="20"/>
          <w:szCs w:val="20"/>
          <w14:textFill>
            <w14:solidFill>
              <w14:schemeClr w14:val="tx1"/>
            </w14:solidFill>
          </w14:textFill>
        </w:rPr>
        <w:t>导致</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pPr>
        <w:snapToGrid w:val="0"/>
        <w:spacing w:line="300" w:lineRule="exact"/>
        <w:ind w:firstLine="200"/>
        <w:jc w:val="both"/>
        <w:outlineLvl w:val="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pPr>
        <w:spacing w:line="300" w:lineRule="exact"/>
        <w:ind w:left="-2" w:leftChars="-1" w:right="36" w:rightChars="15" w:firstLine="480" w:firstLineChars="200"/>
        <w:jc w:val="both"/>
        <w:rPr>
          <w:color w:val="000000" w:themeColor="text1"/>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1）遇不可抗力事件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p>
    <w:p>
      <w:pPr>
        <w:snapToGrid w:val="0"/>
        <w:spacing w:line="300" w:lineRule="exact"/>
        <w:ind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8）法律法规规定或监管部门认定的其他情形。</w:t>
      </w:r>
    </w:p>
    <w:p>
      <w:pPr>
        <w:snapToGrid w:val="0"/>
        <w:spacing w:line="300" w:lineRule="exact"/>
        <w:ind w:left="-2" w:leftChars="-1" w:firstLine="400" w:firstLineChars="200"/>
        <w:jc w:val="both"/>
        <w:outlineLvl w:val="0"/>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pPr>
        <w:snapToGrid w:val="0"/>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pPr>
        <w:snapToGrid w:val="0"/>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p>
    <w:p>
      <w:pPr>
        <w:snapToGrid w:val="0"/>
        <w:spacing w:line="300" w:lineRule="exact"/>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pPr>
        <w:snapToGrid w:val="0"/>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pPr>
        <w:spacing w:line="300" w:lineRule="exact"/>
        <w:ind w:left="402" w:right="29" w:rightChars="12" w:hanging="402" w:hangingChars="200"/>
        <w:rPr>
          <w:rFonts w:ascii="Times New Roman" w:hAnsi="Times New Roman"/>
          <w:b/>
          <w:bCs/>
          <w:color w:val="000000" w:themeColor="text1"/>
          <w:sz w:val="20"/>
          <w:szCs w:val="20"/>
          <w14:textFill>
            <w14:solidFill>
              <w14:schemeClr w14:val="tx1"/>
            </w14:solidFill>
          </w14:textFill>
        </w:rPr>
      </w:pPr>
      <w:r>
        <w:rPr>
          <w:rFonts w:ascii="Times New Roman" w:hAnsi="Times New Roman"/>
          <w:b/>
          <w:bCs/>
          <w:color w:val="000000" w:themeColor="text1"/>
          <w:sz w:val="20"/>
          <w:szCs w:val="20"/>
          <w14:textFill>
            <w14:solidFill>
              <w14:schemeClr w14:val="tx1"/>
            </w14:solidFill>
          </w14:textFill>
        </w:rPr>
        <w:t> </w:t>
      </w:r>
    </w:p>
    <w:p>
      <w:pPr>
        <w:snapToGrid w:val="0"/>
        <w:spacing w:line="300" w:lineRule="exact"/>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hint="eastAsia" w:ascii="楷体_GB2312" w:eastAsia="楷体_GB2312" w:cs="楷体_GB2312"/>
          <w:b/>
          <w:bCs/>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产品管理人声明与保证</w:t>
      </w:r>
    </w:p>
    <w:p>
      <w:pPr>
        <w:snapToGrid w:val="0"/>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1）</w:t>
      </w:r>
      <w:r>
        <w:rPr>
          <w:rFonts w:hint="eastAsia"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2）</w:t>
      </w:r>
      <w:r>
        <w:rPr>
          <w:rFonts w:hint="eastAsia"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hint="eastAsia" w:ascii="楷体_GB2312" w:eastAsia="楷体_GB2312" w:cs="楷体_GB2312"/>
          <w:b/>
          <w:bCs/>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投资者声明与保证</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1）</w:t>
      </w:r>
      <w:r>
        <w:rPr>
          <w:rFonts w:hint="eastAsia"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投资者具有完全民事行为能力，有完全适当的资格与能力订立并履行本理财产品销售文件，不存在法律、行政法规有关规定禁止或限制投资理财产品的情形（适用于个人投资者）。</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销售文件所需的一切有关批准、许可、备案或者登记（适用于机构投资者）；</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2）</w:t>
      </w:r>
      <w:r>
        <w:rPr>
          <w:rFonts w:hint="eastAsia"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w:t>
      </w:r>
      <w:r>
        <w:rPr>
          <w:rFonts w:ascii="Times New Roman" w:hAnsi="Times New Roman" w:eastAsia="楷体_GB2312" w:cs="楷体_GB2312"/>
          <w:b/>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或资料发生变更，应当及时书面告知产品管理人或代销机构；</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3）</w:t>
      </w:r>
      <w:r>
        <w:rPr>
          <w:rFonts w:hint="eastAsia"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4）</w:t>
      </w:r>
      <w:r>
        <w:rPr>
          <w:rFonts w:hint="eastAsia"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5）</w:t>
      </w:r>
      <w:r>
        <w:rPr>
          <w:rFonts w:hint="eastAsia"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6）</w:t>
      </w:r>
      <w:r>
        <w:rPr>
          <w:rFonts w:hint="eastAsia" w:ascii="Times New Roman" w:hAnsi="Times New Roman" w:eastAsia="楷体_GB2312" w:cs="楷体_GB2312"/>
          <w:b/>
          <w:color w:val="000000" w:themeColor="text1"/>
          <w:sz w:val="20"/>
          <w:szCs w:val="20"/>
          <w14:textFill>
            <w14:solidFill>
              <w14:schemeClr w14:val="tx1"/>
            </w14:solidFill>
          </w14:textFill>
        </w:rPr>
        <w:t>投资者不利用本理财业务及本理财产品销售文件项下理财产品从事违法活动；</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7）</w:t>
      </w:r>
      <w:r>
        <w:rPr>
          <w:rFonts w:hint="eastAsia"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w:t>
      </w:r>
      <w:r>
        <w:rPr>
          <w:rFonts w:ascii="Times New Roman" w:hAnsi="Times New Roman" w:eastAsia="楷体_GB2312" w:cs="楷体_GB2312"/>
          <w:b/>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代销机构开展投资者身份识别、交易记录保存、投资者身份及交易背景尽职调查、大额和可疑交易报告等各项反洗钱工作，并按要求提供相关证明材料；</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8）</w:t>
      </w:r>
      <w:r>
        <w:rPr>
          <w:rFonts w:hint="eastAsia"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9）</w:t>
      </w:r>
      <w:r>
        <w:rPr>
          <w:rFonts w:hint="eastAsia"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hint="eastAsia" w:ascii="楷体_GB2312" w:eastAsia="楷体_GB2312" w:cs="楷体_GB2312"/>
          <w:b/>
          <w:bCs/>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双方同意</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1）</w:t>
      </w:r>
      <w:r>
        <w:rPr>
          <w:rFonts w:hint="eastAsia"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2）</w:t>
      </w:r>
      <w:r>
        <w:rPr>
          <w:rFonts w:hint="eastAsia"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未经产品管理人同意，投资者不得向任何第三人转让、赠与本理财产品销售文件或本理财产品销售文件项下的任何权利、利益、权益（包括单独和整体）；</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3）</w:t>
      </w:r>
      <w:r>
        <w:rPr>
          <w:rFonts w:hint="eastAsia"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pPr>
        <w:spacing w:line="300" w:lineRule="exact"/>
        <w:ind w:left="400" w:hanging="400" w:hangingChars="200"/>
        <w:jc w:val="both"/>
        <w:rPr>
          <w:rFonts w:ascii="黑体" w:eastAsia="黑体" w:cs="黑体"/>
          <w:color w:val="000000" w:themeColor="text1"/>
          <w:sz w:val="20"/>
          <w:szCs w:val="20"/>
          <w14:textFill>
            <w14:solidFill>
              <w14:schemeClr w14:val="tx1"/>
            </w14:solidFill>
          </w14:textFill>
        </w:rPr>
      </w:pPr>
    </w:p>
    <w:p>
      <w:pPr>
        <w:spacing w:line="300" w:lineRule="exact"/>
        <w:ind w:left="402" w:hanging="402" w:hangingChars="200"/>
        <w:jc w:val="both"/>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pPr>
        <w:pStyle w:val="7"/>
        <w:numPr>
          <w:ilvl w:val="0"/>
          <w:numId w:val="9"/>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pPr>
        <w:pStyle w:val="7"/>
        <w:numPr>
          <w:ilvl w:val="0"/>
          <w:numId w:val="9"/>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Pr>
          <w:rFonts w:ascii="Times New Roman" w:hAnsi="Times New Roman" w:eastAsia="楷体_GB2312" w:cs="楷体_GB2312"/>
          <w:b/>
          <w:color w:val="000000" w:themeColor="text1"/>
          <w:sz w:val="20"/>
          <w:szCs w:val="20"/>
          <w14:textFill>
            <w14:solidFill>
              <w14:schemeClr w14:val="tx1"/>
            </w14:solidFill>
          </w14:textFill>
        </w:rPr>
        <w:t>1</w:t>
      </w:r>
      <w:r>
        <w:rPr>
          <w:rFonts w:hint="eastAsia" w:ascii="Times New Roman" w:hAnsi="Times New Roman" w:eastAsia="楷体_GB2312" w:cs="楷体_GB2312"/>
          <w:b/>
          <w:color w:val="000000" w:themeColor="text1"/>
          <w:sz w:val="20"/>
          <w:szCs w:val="20"/>
          <w14:textFill>
            <w14:solidFill>
              <w14:schemeClr w14:val="tx1"/>
            </w14:solidFill>
          </w14:textFill>
        </w:rPr>
        <w:t>）向与本次投资有关而需要获知以上信息并受保密协议约束的律师、会计师、顾问和咨询人员披露的；（</w:t>
      </w:r>
      <w:r>
        <w:rPr>
          <w:rFonts w:ascii="Times New Roman" w:hAnsi="Times New Roman" w:eastAsia="楷体_GB2312" w:cs="楷体_GB2312"/>
          <w:b/>
          <w:color w:val="000000" w:themeColor="text1"/>
          <w:sz w:val="20"/>
          <w:szCs w:val="20"/>
          <w14:textFill>
            <w14:solidFill>
              <w14:schemeClr w14:val="tx1"/>
            </w14:solidFill>
          </w14:textFill>
        </w:rPr>
        <w:t>2</w:t>
      </w:r>
      <w:r>
        <w:rPr>
          <w:rFonts w:hint="eastAsia" w:ascii="Times New Roman" w:hAnsi="Times New Roman" w:eastAsia="楷体_GB2312" w:cs="楷体_GB2312"/>
          <w:b/>
          <w:color w:val="000000" w:themeColor="text1"/>
          <w:sz w:val="20"/>
          <w:szCs w:val="20"/>
          <w14:textFill>
            <w14:solidFill>
              <w14:schemeClr w14:val="tx1"/>
            </w14:solidFill>
          </w14:textFill>
        </w:rPr>
        <w:t>）根据适用的法律法规的要求，向有关政府部门、监管机构或者管理机构（包括证券交易所）披露的；（</w:t>
      </w:r>
      <w:r>
        <w:rPr>
          <w:rFonts w:ascii="Times New Roman" w:hAnsi="Times New Roman" w:eastAsia="楷体_GB2312" w:cs="楷体_GB2312"/>
          <w:b/>
          <w:color w:val="000000" w:themeColor="text1"/>
          <w:sz w:val="20"/>
          <w:szCs w:val="20"/>
          <w14:textFill>
            <w14:solidFill>
              <w14:schemeClr w14:val="tx1"/>
            </w14:solidFill>
          </w14:textFill>
        </w:rPr>
        <w:t>3</w:t>
      </w:r>
      <w:r>
        <w:rPr>
          <w:rFonts w:hint="eastAsia" w:ascii="Times New Roman" w:hAnsi="Times New Roman" w:eastAsia="楷体_GB2312" w:cs="楷体_GB2312"/>
          <w:b/>
          <w:color w:val="000000" w:themeColor="text1"/>
          <w:sz w:val="20"/>
          <w:szCs w:val="20"/>
          <w14:textFill>
            <w14:solidFill>
              <w14:schemeClr w14:val="tx1"/>
            </w14:solidFill>
          </w14:textFill>
        </w:rPr>
        <w:t>）本产品说明书另有约定的。前述保密义务不因本理财产品销售文件或相关协议的无效、被撤销、终止而受影响。</w:t>
      </w:r>
    </w:p>
    <w:p>
      <w:pPr>
        <w:pStyle w:val="7"/>
        <w:numPr>
          <w:ilvl w:val="0"/>
          <w:numId w:val="9"/>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根据监管机构要求，管理人（特指除本理财产品的管理人信银理财之外的其他管理人，包括但不限于本理财产品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pPr>
        <w:spacing w:line="300" w:lineRule="exact"/>
        <w:ind w:right="29" w:rightChars="12"/>
        <w:rPr>
          <w:rFonts w:ascii="黑体" w:eastAsia="黑体" w:cs="黑体"/>
          <w:color w:val="000000" w:themeColor="text1"/>
          <w:sz w:val="20"/>
          <w:szCs w:val="20"/>
          <w14:textFill>
            <w14:solidFill>
              <w14:schemeClr w14:val="tx1"/>
            </w14:solidFill>
          </w14:textFill>
        </w:rPr>
      </w:pPr>
    </w:p>
    <w:p>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pPr>
        <w:spacing w:line="300" w:lineRule="exact"/>
        <w:ind w:right="36" w:rightChars="15"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w:t>
      </w:r>
      <w:r>
        <w:rPr>
          <w:rFonts w:hint="eastAsia" w:ascii="楷体_GB2312" w:eastAsia="楷体_GB2312" w:cs="楷体_GB2312"/>
          <w:b/>
          <w:bCs/>
          <w:color w:val="000000" w:themeColor="text1"/>
          <w:sz w:val="20"/>
          <w:szCs w:val="20"/>
          <w14:textFill>
            <w14:solidFill>
              <w14:schemeClr w14:val="tx1"/>
            </w14:solidFill>
          </w14:textFill>
        </w:rPr>
        <w:t>．</w:t>
      </w:r>
      <w:r>
        <w:rPr>
          <w:rFonts w:hint="eastAsia" w:ascii="楷体_GB2312" w:eastAsia="楷体_GB2312" w:cs="楷体_GB2312"/>
          <w:b/>
          <w:color w:val="000000" w:themeColor="text1"/>
          <w:sz w:val="20"/>
          <w:szCs w:val="20"/>
          <w14:textFill>
            <w14:solidFill>
              <w14:schemeClr w14:val="tx1"/>
            </w14:solidFill>
          </w14:textFill>
        </w:rPr>
        <w:t>本产品面临的风险包括信用风险、市场风险、流动性风险、提前终止风险、政策风险、信息传递风险、管理风险、延期清算风险、理财产品</w:t>
      </w:r>
      <w:r>
        <w:rPr>
          <w:rFonts w:ascii="楷体_GB2312" w:eastAsia="楷体_GB2312" w:cs="楷体_GB2312"/>
          <w:b/>
          <w:color w:val="000000" w:themeColor="text1"/>
          <w:sz w:val="20"/>
          <w:szCs w:val="20"/>
          <w14:textFill>
            <w14:solidFill>
              <w14:schemeClr w14:val="tx1"/>
            </w14:solidFill>
          </w14:textFill>
        </w:rPr>
        <w:t>不成立风险、</w:t>
      </w:r>
      <w:r>
        <w:rPr>
          <w:rFonts w:hint="eastAsia" w:ascii="楷体_GB2312" w:eastAsia="楷体_GB2312" w:cs="楷体_GB2312"/>
          <w:b/>
          <w:color w:val="000000" w:themeColor="text1"/>
          <w:sz w:val="20"/>
          <w:szCs w:val="20"/>
          <w14:textFill>
            <w14:solidFill>
              <w14:schemeClr w14:val="tx1"/>
            </w14:solidFill>
          </w14:textFill>
        </w:rPr>
        <w:t>不可抗力及</w:t>
      </w:r>
      <w:r>
        <w:rPr>
          <w:rFonts w:ascii="楷体_GB2312" w:eastAsia="楷体_GB2312" w:cs="楷体_GB2312"/>
          <w:b/>
          <w:color w:val="000000" w:themeColor="text1"/>
          <w:sz w:val="20"/>
          <w:szCs w:val="20"/>
          <w14:textFill>
            <w14:solidFill>
              <w14:schemeClr w14:val="tx1"/>
            </w14:solidFill>
          </w14:textFill>
        </w:rPr>
        <w:t>意外事件</w:t>
      </w:r>
      <w:r>
        <w:rPr>
          <w:rFonts w:hint="eastAsia" w:ascii="楷体_GB2312" w:eastAsia="楷体_GB2312" w:cs="楷体_GB2312"/>
          <w:b/>
          <w:color w:val="000000" w:themeColor="text1"/>
          <w:sz w:val="20"/>
          <w:szCs w:val="20"/>
          <w14:textFill>
            <w14:solidFill>
              <w14:schemeClr w14:val="tx1"/>
            </w14:solidFill>
          </w14:textFill>
        </w:rPr>
        <w:t>风险、理财本金全部损失风险、合作销售机构（代销机构）风险、</w:t>
      </w:r>
      <w:r>
        <w:rPr>
          <w:rFonts w:ascii="楷体_GB2312" w:eastAsia="楷体_GB2312" w:cs="楷体_GB2312"/>
          <w:b/>
          <w:color w:val="000000" w:themeColor="text1"/>
          <w:sz w:val="20"/>
          <w:szCs w:val="20"/>
          <w14:textFill>
            <w14:solidFill>
              <w14:schemeClr w14:val="tx1"/>
            </w14:solidFill>
          </w14:textFill>
        </w:rPr>
        <w:t>操作风险</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关联交易风险</w:t>
      </w:r>
      <w:r>
        <w:rPr>
          <w:rFonts w:hint="eastAsia" w:ascii="楷体_GB2312" w:eastAsia="楷体_GB2312" w:cs="楷体_GB2312"/>
          <w:b/>
          <w:color w:val="000000" w:themeColor="text1"/>
          <w:sz w:val="20"/>
          <w:szCs w:val="20"/>
          <w14:textFill>
            <w14:solidFill>
              <w14:schemeClr w14:val="tx1"/>
            </w14:solidFill>
          </w14:textFill>
        </w:rPr>
        <w:t>等风险，将可能导致投资者无法</w:t>
      </w:r>
      <w:r>
        <w:rPr>
          <w:rFonts w:ascii="楷体_GB2312" w:eastAsia="楷体_GB2312" w:cs="楷体_GB2312"/>
          <w:b/>
          <w:color w:val="000000" w:themeColor="text1"/>
          <w:sz w:val="20"/>
          <w:szCs w:val="20"/>
          <w14:textFill>
            <w14:solidFill>
              <w14:schemeClr w14:val="tx1"/>
            </w14:solidFill>
          </w14:textFill>
        </w:rPr>
        <w:t>取得收益，甚至</w:t>
      </w:r>
      <w:r>
        <w:rPr>
          <w:rFonts w:hint="eastAsia" w:ascii="楷体_GB2312" w:eastAsia="楷体_GB2312" w:cs="楷体_GB2312"/>
          <w:b/>
          <w:color w:val="000000" w:themeColor="text1"/>
          <w:sz w:val="20"/>
          <w:szCs w:val="20"/>
          <w14:textFill>
            <w14:solidFill>
              <w14:schemeClr w14:val="tx1"/>
            </w14:solidFill>
          </w14:textFill>
        </w:rPr>
        <w:t>本金蒙受部分或全部损失。由此产生的理财本金和收益损失的风险由投资者自行承担，信银理财不承担任何返还理财本金及收益的保证责任。</w:t>
      </w:r>
      <w:r>
        <w:rPr>
          <w:rFonts w:ascii="楷体_GB2312" w:eastAsia="楷体_GB2312" w:cs="楷体_GB2312"/>
          <w:b/>
          <w:color w:val="000000" w:themeColor="text1"/>
          <w:sz w:val="20"/>
          <w:szCs w:val="20"/>
          <w14:textFill>
            <w14:solidFill>
              <w14:schemeClr w14:val="tx1"/>
            </w14:solidFill>
          </w14:textFill>
        </w:rPr>
        <w:t xml:space="preserve">  </w:t>
      </w:r>
    </w:p>
    <w:p>
      <w:pPr>
        <w:spacing w:line="300" w:lineRule="exact"/>
        <w:ind w:right="36" w:rightChars="15"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w:t>
      </w:r>
      <w:r>
        <w:rPr>
          <w:rFonts w:hint="eastAsia" w:ascii="楷体_GB2312" w:eastAsia="楷体_GB2312" w:cs="楷体_GB2312"/>
          <w:b/>
          <w:bCs/>
          <w:color w:val="000000" w:themeColor="text1"/>
          <w:sz w:val="20"/>
          <w:szCs w:val="20"/>
          <w14:textFill>
            <w14:solidFill>
              <w14:schemeClr w14:val="tx1"/>
            </w14:solidFill>
          </w14:textFill>
        </w:rPr>
        <w:t>．</w:t>
      </w:r>
      <w:r>
        <w:rPr>
          <w:rFonts w:hint="eastAsia" w:ascii="楷体_GB2312" w:eastAsia="楷体_GB2312" w:cs="楷体_GB2312"/>
          <w:b/>
          <w:color w:val="000000" w:themeColor="text1"/>
          <w:sz w:val="20"/>
          <w:szCs w:val="20"/>
          <w14:textFill>
            <w14:solidFill>
              <w14:schemeClr w14:val="tx1"/>
            </w14:solidFill>
          </w14:textFill>
        </w:rPr>
        <w:t>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pPr>
        <w:spacing w:line="300" w:lineRule="exact"/>
        <w:ind w:right="36" w:rightChars="15"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hint="eastAsia" w:ascii="楷体_GB2312" w:eastAsia="楷体_GB2312" w:cs="楷体_GB2312"/>
          <w:b/>
          <w:bCs/>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关于费用</w:t>
      </w:r>
    </w:p>
    <w:p>
      <w:pPr>
        <w:spacing w:line="300" w:lineRule="exact"/>
        <w:ind w:right="36" w:rightChars="15" w:firstLine="430" w:firstLineChars="214"/>
        <w:jc w:val="both"/>
        <w:rPr>
          <w:rFonts w:ascii="楷体_GB2312" w:eastAsia="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pPr>
        <w:spacing w:line="300" w:lineRule="exact"/>
        <w:ind w:right="36" w:rightChars="15" w:firstLine="430" w:firstLineChars="214"/>
        <w:jc w:val="both"/>
        <w:rPr>
          <w:rFonts w:ascii="楷体_GB2312" w:eastAsia="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2</w:t>
      </w:r>
      <w:r>
        <w:rPr>
          <w:rFonts w:hint="eastAsia" w:ascii="楷体_GB2312" w:eastAsia="楷体_GB2312"/>
          <w:b/>
          <w:color w:val="000000" w:themeColor="text1"/>
          <w:sz w:val="20"/>
          <w:szCs w:val="20"/>
          <w14:textFill>
            <w14:solidFill>
              <w14:schemeClr w14:val="tx1"/>
            </w14:solidFill>
          </w14:textFill>
        </w:rPr>
        <w:t>）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pPr>
        <w:spacing w:line="300" w:lineRule="exact"/>
        <w:ind w:right="36" w:rightChars="15"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hint="eastAsia" w:ascii="楷体_GB2312" w:eastAsia="楷体_GB2312" w:cs="楷体_GB2312"/>
          <w:b/>
          <w:bCs/>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咨询</w:t>
      </w:r>
      <w:r>
        <w:rPr>
          <w:rFonts w:ascii="楷体_GB2312" w:eastAsia="楷体_GB2312"/>
          <w:b/>
          <w:color w:val="000000" w:themeColor="text1"/>
          <w:sz w:val="20"/>
          <w:szCs w:val="20"/>
          <w14:textFill>
            <w14:solidFill>
              <w14:schemeClr w14:val="tx1"/>
            </w14:solidFill>
          </w14:textFill>
        </w:rPr>
        <w:t>与投诉：</w:t>
      </w:r>
      <w:r>
        <w:rPr>
          <w:rFonts w:hint="eastAsia" w:ascii="楷体_GB2312" w:eastAsia="楷体_GB2312"/>
          <w:b/>
          <w:color w:val="000000" w:themeColor="text1"/>
          <w:sz w:val="20"/>
          <w:szCs w:val="20"/>
          <w14:textFill>
            <w14:solidFill>
              <w14:schemeClr w14:val="tx1"/>
            </w14:solidFill>
          </w14:textFill>
        </w:rPr>
        <w:t>投资者对本理财产品有任何建议、意见或投诉，请联系信银理财理财经理，或反馈至信银理财营业场所，或拨打信银理财客户服务热线【</w:t>
      </w:r>
      <w:r>
        <w:rPr>
          <w:rFonts w:ascii="楷体_GB2312" w:eastAsia="楷体_GB2312"/>
          <w:b/>
          <w:color w:val="000000" w:themeColor="text1"/>
          <w:sz w:val="20"/>
          <w:szCs w:val="20"/>
          <w14:textFill>
            <w14:solidFill>
              <w14:schemeClr w14:val="tx1"/>
            </w14:solidFill>
          </w14:textFill>
        </w:rPr>
        <w:t>950950，工作时间为工作日8：30-20：30</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登录信银理财网站【http://www.citic-wealth.com/</w:t>
      </w:r>
      <w:r>
        <w:rPr>
          <w:rFonts w:hint="eastAsia"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pPr>
        <w:spacing w:line="300" w:lineRule="exact"/>
        <w:ind w:right="36" w:rightChars="15"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hint="eastAsia" w:ascii="楷体_GB2312" w:eastAsia="楷体_GB2312" w:cs="楷体_GB2312"/>
          <w:b/>
          <w:bCs/>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本产品说明书中</w:t>
      </w:r>
      <w:r>
        <w:rPr>
          <w:rFonts w:hint="eastAsia" w:ascii="楷体_GB2312" w:eastAsia="楷体_GB2312"/>
          <w:b/>
          <w:color w:val="000000" w:themeColor="text1"/>
          <w:sz w:val="20"/>
          <w:szCs w:val="20"/>
          <w14:textFill>
            <w14:solidFill>
              <w14:schemeClr w14:val="tx1"/>
            </w14:solidFill>
          </w14:textFill>
        </w:rPr>
        <w:t>关于</w:t>
      </w:r>
      <w:r>
        <w:rPr>
          <w:rFonts w:ascii="楷体_GB2312" w:eastAsia="楷体_GB2312"/>
          <w:b/>
          <w:color w:val="000000" w:themeColor="text1"/>
          <w:sz w:val="20"/>
          <w:szCs w:val="20"/>
          <w14:textFill>
            <w14:solidFill>
              <w14:schemeClr w14:val="tx1"/>
            </w14:solidFill>
          </w14:textFill>
        </w:rPr>
        <w:t>时间</w:t>
      </w:r>
      <w:r>
        <w:rPr>
          <w:rFonts w:hint="eastAsia" w:ascii="楷体_GB2312" w:eastAsia="楷体_GB2312"/>
          <w:b/>
          <w:color w:val="000000" w:themeColor="text1"/>
          <w:sz w:val="20"/>
          <w:szCs w:val="20"/>
          <w14:textFill>
            <w14:solidFill>
              <w14:schemeClr w14:val="tx1"/>
            </w14:solidFill>
          </w14:textFill>
        </w:rPr>
        <w:t>的</w:t>
      </w:r>
      <w:r>
        <w:rPr>
          <w:rFonts w:ascii="楷体_GB2312" w:eastAsia="楷体_GB2312"/>
          <w:b/>
          <w:color w:val="000000" w:themeColor="text1"/>
          <w:sz w:val="20"/>
          <w:szCs w:val="20"/>
          <w14:textFill>
            <w14:solidFill>
              <w14:schemeClr w14:val="tx1"/>
            </w14:solidFill>
          </w14:textFill>
        </w:rPr>
        <w:t>标准</w:t>
      </w: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以信银理财业务处理系统记录的北京时间为准。</w:t>
      </w:r>
    </w:p>
    <w:p>
      <w:pPr>
        <w:spacing w:line="300" w:lineRule="exact"/>
        <w:ind w:right="36" w:rightChars="15"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信银理财有权依法对本产品说明书进行</w:t>
      </w:r>
      <w:r>
        <w:rPr>
          <w:rFonts w:hint="eastAsia" w:ascii="楷体_GB2312" w:eastAsia="楷体_GB2312"/>
          <w:b/>
          <w:color w:val="000000" w:themeColor="text1"/>
          <w:sz w:val="20"/>
          <w:szCs w:val="20"/>
          <w14:textFill>
            <w14:solidFill>
              <w14:schemeClr w14:val="tx1"/>
            </w14:solidFill>
          </w14:textFill>
        </w:rPr>
        <w:t>解释</w:t>
      </w:r>
      <w:r>
        <w:rPr>
          <w:rFonts w:ascii="楷体_GB2312" w:eastAsia="楷体_GB2312"/>
          <w:b/>
          <w:color w:val="000000" w:themeColor="text1"/>
          <w:sz w:val="20"/>
          <w:szCs w:val="20"/>
          <w14:textFill>
            <w14:solidFill>
              <w14:schemeClr w14:val="tx1"/>
            </w14:solidFill>
          </w14:textFill>
        </w:rPr>
        <w:t>。</w:t>
      </w:r>
    </w:p>
    <w:p>
      <w:pPr>
        <w:spacing w:line="300" w:lineRule="exact"/>
        <w:ind w:right="29" w:rightChars="12" w:firstLine="428" w:firstLineChars="214"/>
        <w:rPr>
          <w:rFonts w:ascii="黑体" w:hAnsi="Times New Roman" w:eastAsia="黑体" w:cs="黑体"/>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pPr>
        <w:spacing w:line="300" w:lineRule="exact"/>
        <w:ind w:left="402" w:right="29" w:rightChars="12" w:hanging="402" w:hangingChars="20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十八、免责内容</w:t>
      </w:r>
    </w:p>
    <w:p>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w:t>
      </w:r>
      <w:r>
        <w:rPr>
          <w:rFonts w:ascii="楷体_GB2312" w:eastAsia="楷体_GB2312"/>
          <w:b/>
          <w:color w:val="000000" w:themeColor="text1"/>
          <w:sz w:val="20"/>
          <w:szCs w:val="20"/>
          <w14:textFill>
            <w14:solidFill>
              <w14:schemeClr w14:val="tx1"/>
            </w14:solidFill>
          </w14:textFill>
        </w:rPr>
        <w:t>理财</w:t>
      </w:r>
      <w:r>
        <w:rPr>
          <w:rFonts w:hint="eastAsia" w:ascii="楷体_GB2312" w:eastAsia="楷体_GB2312"/>
          <w:b/>
          <w:color w:val="000000" w:themeColor="text1"/>
          <w:sz w:val="20"/>
          <w:szCs w:val="20"/>
          <w14:textFill>
            <w14:solidFill>
              <w14:schemeClr w14:val="tx1"/>
            </w14:solidFill>
          </w14:textFill>
        </w:rPr>
        <w:t>客观不能预见、不能避免、不能克服的不可</w:t>
      </w:r>
      <w:r>
        <w:rPr>
          <w:rFonts w:ascii="楷体_GB2312" w:eastAsia="楷体_GB2312"/>
          <w:b/>
          <w:color w:val="000000" w:themeColor="text1"/>
          <w:sz w:val="20"/>
          <w:szCs w:val="20"/>
          <w14:textFill>
            <w14:solidFill>
              <w14:schemeClr w14:val="tx1"/>
            </w14:solidFill>
          </w14:textFill>
        </w:rPr>
        <w:t>抗</w:t>
      </w:r>
      <w:r>
        <w:rPr>
          <w:rFonts w:hint="eastAsia" w:ascii="楷体_GB2312" w:eastAsia="楷体_GB2312"/>
          <w:b/>
          <w:color w:val="000000" w:themeColor="text1"/>
          <w:sz w:val="20"/>
          <w:szCs w:val="20"/>
          <w14:textFill>
            <w14:solidFill>
              <w14:schemeClr w14:val="tx1"/>
            </w14:solidFill>
          </w14:textFill>
        </w:rPr>
        <w:t>力事件</w:t>
      </w:r>
      <w:r>
        <w:rPr>
          <w:rFonts w:ascii="楷体_GB2312" w:eastAsia="楷体_GB2312"/>
          <w:b/>
          <w:color w:val="000000" w:themeColor="text1"/>
          <w:sz w:val="20"/>
          <w:szCs w:val="20"/>
          <w14:textFill>
            <w14:solidFill>
              <w14:schemeClr w14:val="tx1"/>
            </w14:solidFill>
          </w14:textFill>
        </w:rPr>
        <w:t>或意外</w:t>
      </w:r>
      <w:r>
        <w:rPr>
          <w:rFonts w:hint="eastAsia" w:ascii="楷体_GB2312" w:eastAsia="楷体_GB2312"/>
          <w:b/>
          <w:color w:val="000000" w:themeColor="text1"/>
          <w:sz w:val="20"/>
          <w:szCs w:val="20"/>
          <w14:textFill>
            <w14:solidFill>
              <w14:schemeClr w14:val="tx1"/>
            </w14:solidFill>
          </w14:textFill>
        </w:rPr>
        <w:t>事件，导致信银</w:t>
      </w:r>
      <w:r>
        <w:rPr>
          <w:rFonts w:ascii="楷体_GB2312" w:eastAsia="楷体_GB2312"/>
          <w:b/>
          <w:color w:val="000000" w:themeColor="text1"/>
          <w:sz w:val="20"/>
          <w:szCs w:val="20"/>
          <w14:textFill>
            <w14:solidFill>
              <w14:schemeClr w14:val="tx1"/>
            </w14:solidFill>
          </w14:textFill>
        </w:rPr>
        <w:t>理财</w:t>
      </w:r>
      <w:r>
        <w:rPr>
          <w:rFonts w:hint="eastAsia" w:ascii="楷体_GB2312" w:eastAsia="楷体_GB2312"/>
          <w:b/>
          <w:color w:val="000000" w:themeColor="text1"/>
          <w:sz w:val="20"/>
          <w:szCs w:val="20"/>
          <w14:textFill>
            <w14:solidFill>
              <w14:schemeClr w14:val="tx1"/>
            </w14:solidFill>
          </w14:textFill>
        </w:rPr>
        <w:t>无法或延后履行本产品说明书有关义务的，信银</w:t>
      </w:r>
      <w:r>
        <w:rPr>
          <w:rFonts w:ascii="楷体_GB2312" w:eastAsia="楷体_GB2312"/>
          <w:b/>
          <w:color w:val="000000" w:themeColor="text1"/>
          <w:sz w:val="20"/>
          <w:szCs w:val="20"/>
          <w14:textFill>
            <w14:solidFill>
              <w14:schemeClr w14:val="tx1"/>
            </w14:solidFill>
          </w14:textFill>
        </w:rPr>
        <w:t>理财</w:t>
      </w:r>
      <w:r>
        <w:rPr>
          <w:rFonts w:hint="eastAsia" w:ascii="楷体_GB2312" w:eastAsia="楷体_GB2312"/>
          <w:b/>
          <w:color w:val="000000" w:themeColor="text1"/>
          <w:sz w:val="20"/>
          <w:szCs w:val="20"/>
          <w14:textFill>
            <w14:solidFill>
              <w14:schemeClr w14:val="tx1"/>
            </w14:solidFill>
          </w14:textFill>
        </w:rPr>
        <w:t>不承担责任。但</w:t>
      </w:r>
      <w:r>
        <w:rPr>
          <w:rFonts w:ascii="楷体_GB2312" w:eastAsia="楷体_GB2312"/>
          <w:b/>
          <w:color w:val="000000" w:themeColor="text1"/>
          <w:sz w:val="20"/>
          <w:szCs w:val="20"/>
          <w14:textFill>
            <w14:solidFill>
              <w14:schemeClr w14:val="tx1"/>
            </w14:solidFill>
          </w14:textFill>
        </w:rPr>
        <w:t>因信银理财故意或重大过失造成的系统故障、通讯故障的除外。</w:t>
      </w:r>
      <w:r>
        <w:rPr>
          <w:rFonts w:hint="eastAsia" w:ascii="楷体_GB2312" w:eastAsia="楷体_GB2312"/>
          <w:b/>
          <w:color w:val="000000" w:themeColor="text1"/>
          <w:sz w:val="20"/>
          <w:szCs w:val="20"/>
          <w14:textFill>
            <w14:solidFill>
              <w14:schemeClr w14:val="tx1"/>
            </w14:solidFill>
          </w14:textFill>
        </w:rPr>
        <w:t>前述约定不免除因信银</w:t>
      </w:r>
      <w:r>
        <w:rPr>
          <w:rFonts w:ascii="楷体_GB2312" w:eastAsia="楷体_GB2312"/>
          <w:b/>
          <w:color w:val="000000" w:themeColor="text1"/>
          <w:sz w:val="20"/>
          <w:szCs w:val="20"/>
          <w14:textFill>
            <w14:solidFill>
              <w14:schemeClr w14:val="tx1"/>
            </w14:solidFill>
          </w14:textFill>
        </w:rPr>
        <w:t>理财</w:t>
      </w:r>
      <w:r>
        <w:rPr>
          <w:rFonts w:hint="eastAsia" w:ascii="楷体_GB2312" w:eastAsia="楷体_GB2312"/>
          <w:b/>
          <w:color w:val="000000" w:themeColor="text1"/>
          <w:sz w:val="20"/>
          <w:szCs w:val="20"/>
          <w14:textFill>
            <w14:solidFill>
              <w14:schemeClr w14:val="tx1"/>
            </w14:solidFill>
          </w14:textFill>
        </w:rPr>
        <w:t>过错导致依法应由产品管理人承担的责任。管理人应在条件允许的情况下，采取必要的补救措施以减少不可抗力造成的损失。</w:t>
      </w:r>
    </w:p>
    <w:p>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pPr>
        <w:pStyle w:val="7"/>
        <w:numPr>
          <w:ilvl w:val="255"/>
          <w:numId w:val="0"/>
        </w:numPr>
        <w:spacing w:line="300" w:lineRule="exact"/>
        <w:ind w:right="36" w:rightChars="15"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pPr>
        <w:pStyle w:val="7"/>
        <w:numPr>
          <w:ilvl w:val="255"/>
          <w:numId w:val="0"/>
        </w:numPr>
        <w:spacing w:line="300" w:lineRule="exact"/>
        <w:ind w:right="36" w:rightChars="15"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pPr>
        <w:pStyle w:val="7"/>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p>
    <w:p>
      <w:pPr>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pPr>
        <w:spacing w:line="300" w:lineRule="exact"/>
        <w:ind w:left="-2" w:leftChars="-1" w:right="36" w:rightChars="15"/>
        <w:rPr>
          <w:rFonts w:ascii="黑体" w:hAnsi="Times New Roman" w:eastAsia="黑体"/>
          <w:color w:val="000000" w:themeColor="text1"/>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pPr>
        <w:ind w:right="-902" w:rightChars="-376"/>
        <w:rPr>
          <w:rFonts w:ascii="黑体" w:hAnsi="Times New Roman" w:eastAsia="黑体"/>
          <w:color w:val="000000" w:themeColor="text1"/>
          <w14:textFill>
            <w14:solidFill>
              <w14:schemeClr w14:val="tx1"/>
            </w14:solidFill>
          </w14:textFill>
        </w:rPr>
      </w:pPr>
    </w:p>
    <w:p>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pPr>
        <w:ind w:right="-902" w:rightChars="-376"/>
        <w:rPr>
          <w:rFonts w:ascii="黑体" w:hAnsi="Times New Roman" w:eastAsia="黑体"/>
          <w:color w:val="000000" w:themeColor="text1"/>
          <w14:textFill>
            <w14:solidFill>
              <w14:schemeClr w14:val="tx1"/>
            </w14:solidFill>
          </w14:textFill>
        </w:rPr>
      </w:pPr>
    </w:p>
    <w:p>
      <w:pPr>
        <w:ind w:right="-902" w:rightChars="-376"/>
        <w:rPr>
          <w:color w:val="000000" w:themeColor="text1"/>
          <w14:textFill>
            <w14:solidFill>
              <w14:schemeClr w14:val="tx1"/>
            </w14:solidFill>
          </w14:textFill>
        </w:rPr>
      </w:pPr>
    </w:p>
    <w:p>
      <w:pPr>
        <w:spacing w:line="300" w:lineRule="exact"/>
        <w:ind w:left="-2" w:leftChars="-1" w:right="36" w:rightChars="15"/>
        <w:rPr>
          <w:rFonts w:ascii="黑体" w:hAnsi="Times New Roman" w:eastAsia="黑体"/>
          <w:color w:val="000000" w:themeColor="text1"/>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p>
    <w:p/>
    <w:sectPr>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0EE80E85"/>
    <w:multiLevelType w:val="multilevel"/>
    <w:tmpl w:val="0EE80E85"/>
    <w:lvl w:ilvl="0" w:tentative="0">
      <w:start w:val="1"/>
      <w:numFmt w:val="decimal"/>
      <w:lvlText w:val="（%1）"/>
      <w:lvlJc w:val="left"/>
      <w:pPr>
        <w:ind w:left="718" w:hanging="72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2">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3">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4">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4B6B1016"/>
    <w:multiLevelType w:val="multilevel"/>
    <w:tmpl w:val="4B6B1016"/>
    <w:lvl w:ilvl="0" w:tentative="0">
      <w:start w:val="1"/>
      <w:numFmt w:val="decimal"/>
      <w:lvlText w:val="%1."/>
      <w:lvlJc w:val="left"/>
      <w:pPr>
        <w:ind w:left="360" w:hanging="360"/>
      </w:pPr>
      <w:rPr>
        <w:rFonts w:hint="default" w:ascii="楷体_GB2312" w:hAnsi="宋体" w:cs="楷体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FAA77C7"/>
    <w:multiLevelType w:val="multilevel"/>
    <w:tmpl w:val="4FAA77C7"/>
    <w:lvl w:ilvl="0" w:tentative="0">
      <w:start w:val="1"/>
      <w:numFmt w:val="japaneseCounting"/>
      <w:lvlText w:val="（%1）"/>
      <w:lvlJc w:val="left"/>
      <w:pPr>
        <w:ind w:left="718" w:hanging="72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7">
    <w:nsid w:val="50260D3B"/>
    <w:multiLevelType w:val="multilevel"/>
    <w:tmpl w:val="50260D3B"/>
    <w:lvl w:ilvl="0" w:tentative="0">
      <w:start w:val="3"/>
      <w:numFmt w:val="japaneseCounting"/>
      <w:lvlText w:val="%1、"/>
      <w:lvlJc w:val="left"/>
      <w:pPr>
        <w:ind w:left="388" w:hanging="390"/>
      </w:pPr>
      <w:rPr>
        <w:rFonts w:hint="default" w:ascii="黑体" w:hAnsi="Times New Roman" w:eastAsia="黑体" w:cs="黑体"/>
        <w:sz w:val="20"/>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8">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num w:numId="1">
    <w:abstractNumId w:val="5"/>
  </w:num>
  <w:num w:numId="2">
    <w:abstractNumId w:val="1"/>
  </w:num>
  <w:num w:numId="3">
    <w:abstractNumId w:val="4"/>
  </w:num>
  <w:num w:numId="4">
    <w:abstractNumId w:val="8"/>
  </w:num>
  <w:num w:numId="5">
    <w:abstractNumId w:val="7"/>
  </w:num>
  <w:num w:numId="6">
    <w:abstractNumId w:val="3"/>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9C54FE"/>
    <w:rsid w:val="019C5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0"/>
    <w:rPr>
      <w:color w:val="0563C1"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2025-09-22T01:23:00Z</dcterms:created>
  <dc:creator>李响</dc:creator>
  <cp:lastModifiedBy>李响</cp:lastModifiedBy>
  <dcterms:modified xsi:type="dcterms:W3CDTF">2025-09-22T01:23:38Z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286E996BFA894A03BE8EF934E43AEE0E</vt:lpwstr>
  </property>
</Properties>
</file>